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097E" w:rsidRDefault="008D281D" w:rsidP="008D281D">
      <w:pPr>
        <w:pStyle w:val="Titel"/>
      </w:pPr>
      <w:r>
        <w:t xml:space="preserve">Vernehmlassung Solidaritätsfonds und Innovationsfonds in den </w:t>
      </w:r>
      <w:proofErr w:type="spellStart"/>
      <w:r>
        <w:t>Gesewo</w:t>
      </w:r>
      <w:proofErr w:type="spellEnd"/>
      <w:r>
        <w:t xml:space="preserve"> – Hausvereinen</w:t>
      </w:r>
    </w:p>
    <w:tbl>
      <w:tblPr>
        <w:tblStyle w:val="Tabellenraster"/>
        <w:tblW w:w="14312" w:type="dxa"/>
        <w:tblLook w:val="04A0" w:firstRow="1" w:lastRow="0" w:firstColumn="1" w:lastColumn="0" w:noHBand="0" w:noVBand="1"/>
      </w:tblPr>
      <w:tblGrid>
        <w:gridCol w:w="3256"/>
        <w:gridCol w:w="11056"/>
      </w:tblGrid>
      <w:tr w:rsidR="008D281D" w:rsidTr="00354403">
        <w:tc>
          <w:tcPr>
            <w:tcW w:w="3256" w:type="dxa"/>
            <w:vAlign w:val="center"/>
          </w:tcPr>
          <w:p w:rsidR="008D281D" w:rsidRDefault="008D281D" w:rsidP="008D281D">
            <w:proofErr w:type="spellStart"/>
            <w:r>
              <w:t>Gesewo</w:t>
            </w:r>
            <w:proofErr w:type="spellEnd"/>
            <w:r>
              <w:t xml:space="preserve"> Haus</w:t>
            </w:r>
          </w:p>
        </w:tc>
        <w:tc>
          <w:tcPr>
            <w:tcW w:w="11056" w:type="dxa"/>
            <w:vAlign w:val="center"/>
          </w:tcPr>
          <w:p w:rsidR="008D281D" w:rsidRDefault="008D281D" w:rsidP="008D281D"/>
        </w:tc>
      </w:tr>
      <w:tr w:rsidR="008D281D" w:rsidTr="00354403">
        <w:tc>
          <w:tcPr>
            <w:tcW w:w="3256" w:type="dxa"/>
            <w:vAlign w:val="center"/>
          </w:tcPr>
          <w:p w:rsidR="008D281D" w:rsidRDefault="008D281D" w:rsidP="008D281D">
            <w:r>
              <w:t>Kontaktperson für Rückfragen</w:t>
            </w:r>
          </w:p>
        </w:tc>
        <w:tc>
          <w:tcPr>
            <w:tcW w:w="11056" w:type="dxa"/>
            <w:vAlign w:val="center"/>
          </w:tcPr>
          <w:p w:rsidR="008D281D" w:rsidRDefault="008D281D" w:rsidP="008D281D"/>
        </w:tc>
      </w:tr>
    </w:tbl>
    <w:p w:rsidR="008D281D" w:rsidRDefault="008D281D" w:rsidP="008D281D">
      <w:pPr>
        <w:rPr>
          <w:b/>
        </w:rPr>
      </w:pPr>
      <w:r w:rsidRPr="008D281D">
        <w:rPr>
          <w:b/>
        </w:rPr>
        <w:t xml:space="preserve">Bitte sendet eure Stellungnahme bis Samstag, 14. Januar 2017 an </w:t>
      </w:r>
      <w:hyperlink r:id="rId8" w:history="1">
        <w:r w:rsidR="00D031C4" w:rsidRPr="005B235E">
          <w:rPr>
            <w:rStyle w:val="Hyperlink"/>
            <w:b/>
          </w:rPr>
          <w:t>martin.borst@gesewo.ch</w:t>
        </w:r>
      </w:hyperlink>
    </w:p>
    <w:p w:rsidR="00D031C4" w:rsidRPr="00D031C4" w:rsidRDefault="00D031C4" w:rsidP="00D031C4">
      <w:pPr>
        <w:pStyle w:val="Untertitel"/>
      </w:pPr>
      <w:r w:rsidRPr="00D031C4">
        <w:t>Rückmeldung allgemein</w:t>
      </w:r>
    </w:p>
    <w:tbl>
      <w:tblPr>
        <w:tblStyle w:val="Tabellenraster"/>
        <w:tblW w:w="14312" w:type="dxa"/>
        <w:tblLook w:val="04A0" w:firstRow="1" w:lastRow="0" w:firstColumn="1" w:lastColumn="0" w:noHBand="0" w:noVBand="1"/>
      </w:tblPr>
      <w:tblGrid>
        <w:gridCol w:w="5524"/>
        <w:gridCol w:w="4536"/>
        <w:gridCol w:w="4252"/>
      </w:tblGrid>
      <w:tr w:rsidR="00D031C4" w:rsidTr="00354403">
        <w:tc>
          <w:tcPr>
            <w:tcW w:w="5524" w:type="dxa"/>
          </w:tcPr>
          <w:p w:rsidR="00D031C4" w:rsidRDefault="00D031C4" w:rsidP="008D281D">
            <w:pPr>
              <w:rPr>
                <w:b/>
              </w:rPr>
            </w:pPr>
            <w:r>
              <w:rPr>
                <w:b/>
              </w:rPr>
              <w:t>Kapitel</w:t>
            </w:r>
          </w:p>
        </w:tc>
        <w:tc>
          <w:tcPr>
            <w:tcW w:w="4536" w:type="dxa"/>
          </w:tcPr>
          <w:p w:rsidR="00D031C4" w:rsidRDefault="00D031C4" w:rsidP="008D281D">
            <w:pPr>
              <w:rPr>
                <w:b/>
              </w:rPr>
            </w:pPr>
            <w:r>
              <w:rPr>
                <w:b/>
              </w:rPr>
              <w:t>Bemerkung / Begründung</w:t>
            </w:r>
          </w:p>
        </w:tc>
        <w:tc>
          <w:tcPr>
            <w:tcW w:w="4252" w:type="dxa"/>
          </w:tcPr>
          <w:p w:rsidR="00D031C4" w:rsidRDefault="00D031C4" w:rsidP="008D281D">
            <w:pPr>
              <w:rPr>
                <w:b/>
              </w:rPr>
            </w:pPr>
            <w:r>
              <w:rPr>
                <w:b/>
              </w:rPr>
              <w:t>Antrag (Formulierungsvorschlag)</w:t>
            </w:r>
          </w:p>
        </w:tc>
      </w:tr>
      <w:tr w:rsidR="00D031C4" w:rsidTr="00354403">
        <w:tc>
          <w:tcPr>
            <w:tcW w:w="5524" w:type="dxa"/>
          </w:tcPr>
          <w:p w:rsidR="00D031C4" w:rsidRDefault="00D031C4" w:rsidP="008D281D">
            <w:pPr>
              <w:rPr>
                <w:b/>
              </w:rPr>
            </w:pPr>
            <w:r w:rsidRPr="00D031C4">
              <w:rPr>
                <w:b/>
              </w:rPr>
              <w:t>A: Reglement Solidaritätsfonds</w:t>
            </w:r>
          </w:p>
        </w:tc>
        <w:tc>
          <w:tcPr>
            <w:tcW w:w="4536" w:type="dxa"/>
          </w:tcPr>
          <w:p w:rsidR="00D031C4" w:rsidRDefault="00D031C4" w:rsidP="008D281D">
            <w:pPr>
              <w:rPr>
                <w:b/>
              </w:rPr>
            </w:pPr>
          </w:p>
        </w:tc>
        <w:tc>
          <w:tcPr>
            <w:tcW w:w="4252" w:type="dxa"/>
          </w:tcPr>
          <w:p w:rsidR="00D031C4" w:rsidRDefault="00D031C4" w:rsidP="008D281D">
            <w:pPr>
              <w:rPr>
                <w:b/>
              </w:rPr>
            </w:pPr>
          </w:p>
        </w:tc>
      </w:tr>
      <w:tr w:rsidR="00D031C4" w:rsidTr="00354403">
        <w:tc>
          <w:tcPr>
            <w:tcW w:w="5524" w:type="dxa"/>
          </w:tcPr>
          <w:p w:rsidR="00D031C4" w:rsidRPr="00D031C4" w:rsidRDefault="00D031C4" w:rsidP="00203FDC">
            <w:pPr>
              <w:pStyle w:val="Liste1"/>
            </w:pPr>
            <w:r w:rsidRPr="00D031C4">
              <w:t>Präambel</w:t>
            </w:r>
          </w:p>
          <w:p w:rsidR="00D031C4" w:rsidRDefault="00D031C4" w:rsidP="00D031C4">
            <w:pPr>
              <w:pStyle w:val="Protokolltext"/>
            </w:pPr>
            <w:r w:rsidRPr="00D031C4">
              <w:t xml:space="preserve">Die </w:t>
            </w:r>
            <w:proofErr w:type="spellStart"/>
            <w:r w:rsidRPr="00D031C4">
              <w:t>Gesewo</w:t>
            </w:r>
            <w:proofErr w:type="spellEnd"/>
            <w:r w:rsidRPr="00D031C4">
              <w:t xml:space="preserve"> unterhält einen Solidaritätsfonds zur Unterstützung von Mieterinnen und Mietern in temporären Notlagen. Er wird  über Beiträge aller Mieterinnen und Mieter </w:t>
            </w:r>
            <w:proofErr w:type="spellStart"/>
            <w:r w:rsidRPr="00D031C4">
              <w:t>geäufnet</w:t>
            </w:r>
            <w:proofErr w:type="spellEnd"/>
            <w:r w:rsidRPr="00D031C4">
              <w:t>.</w:t>
            </w:r>
          </w:p>
        </w:tc>
        <w:tc>
          <w:tcPr>
            <w:tcW w:w="4536" w:type="dxa"/>
          </w:tcPr>
          <w:p w:rsidR="00D031C4" w:rsidRDefault="00D031C4" w:rsidP="008D281D">
            <w:pPr>
              <w:rPr>
                <w:b/>
              </w:rPr>
            </w:pPr>
          </w:p>
        </w:tc>
        <w:tc>
          <w:tcPr>
            <w:tcW w:w="4252" w:type="dxa"/>
          </w:tcPr>
          <w:p w:rsidR="00D031C4" w:rsidRDefault="00D031C4" w:rsidP="008D281D">
            <w:pPr>
              <w:rPr>
                <w:b/>
              </w:rPr>
            </w:pPr>
          </w:p>
        </w:tc>
      </w:tr>
      <w:tr w:rsidR="00D031C4" w:rsidTr="00354403">
        <w:tc>
          <w:tcPr>
            <w:tcW w:w="5524" w:type="dxa"/>
          </w:tcPr>
          <w:p w:rsidR="00D031C4" w:rsidRDefault="00D031C4" w:rsidP="00203FDC">
            <w:pPr>
              <w:pStyle w:val="Liste1"/>
            </w:pPr>
            <w:r>
              <w:t>Beitrag</w:t>
            </w:r>
          </w:p>
          <w:p w:rsidR="00D031C4" w:rsidRDefault="00D031C4" w:rsidP="00D031C4">
            <w:pPr>
              <w:pStyle w:val="Protokolltext"/>
            </w:pPr>
            <w:r w:rsidRPr="00D031C4">
              <w:t xml:space="preserve">Gestützt auf die Statuten bezahlen die Mieterinnen und Mieter der </w:t>
            </w:r>
            <w:proofErr w:type="spellStart"/>
            <w:r w:rsidRPr="00D031C4">
              <w:t>Gesewo</w:t>
            </w:r>
            <w:proofErr w:type="spellEnd"/>
            <w:r w:rsidRPr="00D031C4">
              <w:t xml:space="preserve"> einen Solidaritätsbeitrag. Die Höhe des monatlichen Solidaritätsbeitrages pro Mietverhältnis (Wohnung oder Gewerberaum) beträgt fünf Franken. Er wird separat auf dem Mietvertrag ausgewiesen und wird zusammen mit dem</w:t>
            </w:r>
            <w:r>
              <w:t xml:space="preserve"> </w:t>
            </w:r>
            <w:r>
              <w:t>Mietzins fällig.</w:t>
            </w:r>
          </w:p>
          <w:p w:rsidR="00D031C4" w:rsidRPr="00D031C4" w:rsidRDefault="00D031C4" w:rsidP="00D031C4">
            <w:pPr>
              <w:pStyle w:val="Protokolltext"/>
            </w:pPr>
            <w:r>
              <w:lastRenderedPageBreak/>
              <w:t>Kommentar: bei 300 Mietverhältnissen ergibt das jährlich Fr 18'000.-</w:t>
            </w:r>
          </w:p>
        </w:tc>
        <w:tc>
          <w:tcPr>
            <w:tcW w:w="4536" w:type="dxa"/>
          </w:tcPr>
          <w:p w:rsidR="00D031C4" w:rsidRDefault="00D031C4" w:rsidP="008D281D">
            <w:pPr>
              <w:rPr>
                <w:b/>
              </w:rPr>
            </w:pPr>
          </w:p>
        </w:tc>
        <w:tc>
          <w:tcPr>
            <w:tcW w:w="4252" w:type="dxa"/>
          </w:tcPr>
          <w:p w:rsidR="00D031C4" w:rsidRDefault="00D031C4" w:rsidP="008D281D">
            <w:pPr>
              <w:rPr>
                <w:b/>
              </w:rPr>
            </w:pPr>
          </w:p>
        </w:tc>
      </w:tr>
      <w:tr w:rsidR="00D031C4" w:rsidTr="00354403">
        <w:tc>
          <w:tcPr>
            <w:tcW w:w="5524" w:type="dxa"/>
          </w:tcPr>
          <w:p w:rsidR="00D031C4" w:rsidRDefault="00D031C4" w:rsidP="00203FDC">
            <w:pPr>
              <w:pStyle w:val="Liste1"/>
            </w:pPr>
            <w:r>
              <w:t>Verfahren</w:t>
            </w:r>
          </w:p>
          <w:p w:rsidR="00D031C4" w:rsidRDefault="00D031C4" w:rsidP="005143A7">
            <w:pPr>
              <w:pStyle w:val="Listentext"/>
            </w:pPr>
            <w:r>
              <w:t>E</w:t>
            </w:r>
            <w:r>
              <w:t xml:space="preserve">in Antrag muss schriftlich und mit den relevanten Angaben gestellt werden. Die Solidaritätskommission entscheidet </w:t>
            </w:r>
            <w:proofErr w:type="spellStart"/>
            <w:r>
              <w:t>letztinstanzlich</w:t>
            </w:r>
            <w:proofErr w:type="spellEnd"/>
            <w:r>
              <w:t xml:space="preserve"> über die Anträge und vergibt die Mittel. Ein Anspruch auf die Beiträge besteht nach schriftlicher Zustimmung der Solidaritätskommission.</w:t>
            </w:r>
          </w:p>
        </w:tc>
        <w:tc>
          <w:tcPr>
            <w:tcW w:w="4536" w:type="dxa"/>
          </w:tcPr>
          <w:p w:rsidR="00D031C4" w:rsidRDefault="00D031C4" w:rsidP="008D281D">
            <w:pPr>
              <w:rPr>
                <w:b/>
              </w:rPr>
            </w:pPr>
          </w:p>
        </w:tc>
        <w:tc>
          <w:tcPr>
            <w:tcW w:w="4252" w:type="dxa"/>
          </w:tcPr>
          <w:p w:rsidR="00D031C4" w:rsidRDefault="00D031C4" w:rsidP="008D281D">
            <w:pPr>
              <w:rPr>
                <w:b/>
              </w:rPr>
            </w:pPr>
          </w:p>
        </w:tc>
      </w:tr>
      <w:tr w:rsidR="00D031C4" w:rsidTr="00354403">
        <w:tc>
          <w:tcPr>
            <w:tcW w:w="5524" w:type="dxa"/>
          </w:tcPr>
          <w:p w:rsidR="00D031C4" w:rsidRPr="00354403" w:rsidRDefault="00D031C4" w:rsidP="00354403">
            <w:pPr>
              <w:pStyle w:val="Liste1"/>
            </w:pPr>
            <w:r w:rsidRPr="00354403">
              <w:t>Zweckbestimmung</w:t>
            </w:r>
          </w:p>
        </w:tc>
        <w:tc>
          <w:tcPr>
            <w:tcW w:w="4536" w:type="dxa"/>
          </w:tcPr>
          <w:p w:rsidR="00D031C4" w:rsidRDefault="00D031C4" w:rsidP="008D281D">
            <w:pPr>
              <w:rPr>
                <w:b/>
              </w:rPr>
            </w:pPr>
          </w:p>
        </w:tc>
        <w:tc>
          <w:tcPr>
            <w:tcW w:w="4252" w:type="dxa"/>
          </w:tcPr>
          <w:p w:rsidR="00D031C4" w:rsidRDefault="00D031C4" w:rsidP="008D281D">
            <w:pPr>
              <w:rPr>
                <w:b/>
              </w:rPr>
            </w:pPr>
          </w:p>
        </w:tc>
      </w:tr>
      <w:tr w:rsidR="00D031C4" w:rsidTr="00354403">
        <w:tc>
          <w:tcPr>
            <w:tcW w:w="5524" w:type="dxa"/>
          </w:tcPr>
          <w:p w:rsidR="00D031C4" w:rsidRPr="00354403" w:rsidRDefault="00354403" w:rsidP="00354403">
            <w:pPr>
              <w:pStyle w:val="Liste11"/>
            </w:pPr>
            <w:r>
              <w:t xml:space="preserve">4.1  </w:t>
            </w:r>
            <w:r w:rsidR="00D031C4" w:rsidRPr="00354403">
              <w:t>Grundsätze</w:t>
            </w:r>
          </w:p>
          <w:p w:rsidR="00D031C4" w:rsidRPr="005143A7" w:rsidRDefault="00D031C4" w:rsidP="005143A7">
            <w:pPr>
              <w:pStyle w:val="Listentext"/>
            </w:pPr>
            <w:r w:rsidRPr="005143A7">
              <w:t>Die Solidaritätsbeiträge werden nach folgenden Richtlinien vergeben:</w:t>
            </w:r>
          </w:p>
          <w:p w:rsidR="00D031C4" w:rsidRDefault="00D031C4" w:rsidP="009B0A6F">
            <w:pPr>
              <w:pStyle w:val="Listenaufzhlung"/>
            </w:pPr>
            <w:r>
              <w:t xml:space="preserve">Beiträge können nur zu Gunsten von Bewohnerinnen, Bewohnern und Mietenden von Gewerberäumen der </w:t>
            </w:r>
            <w:proofErr w:type="spellStart"/>
            <w:r>
              <w:t>Gesewo</w:t>
            </w:r>
            <w:proofErr w:type="spellEnd"/>
            <w:r>
              <w:t xml:space="preserve"> vergeben werden.</w:t>
            </w:r>
          </w:p>
          <w:p w:rsidR="00D031C4" w:rsidRDefault="00D031C4" w:rsidP="009B0A6F">
            <w:pPr>
              <w:pStyle w:val="Listenaufzhlung"/>
            </w:pPr>
            <w:r>
              <w:t>Mit dem Beitrag soll geholfen werden, Notlagen zu überbrücken oder zu lösen, die von den Betroffenen nicht selbst behoben werden können.</w:t>
            </w:r>
          </w:p>
          <w:p w:rsidR="00D031C4" w:rsidRDefault="00D031C4" w:rsidP="009B0A6F">
            <w:pPr>
              <w:pStyle w:val="Listenaufzhlung"/>
            </w:pPr>
            <w:r>
              <w:t xml:space="preserve">Die Beiträge sind subsidiär: Wenn staatliche und private Institutionen die Kosten übernehmen würden, wird kein Beitrag gesprochen. </w:t>
            </w:r>
          </w:p>
          <w:p w:rsidR="00D031C4" w:rsidRDefault="00D031C4" w:rsidP="009B0A6F">
            <w:pPr>
              <w:pStyle w:val="Listenaufzhlung"/>
            </w:pPr>
            <w:r>
              <w:t xml:space="preserve">Massgebend sind die Bedürfnisse der Bewohnerinnen, und Bewohnern und Mietenden von Gewerberäumen der </w:t>
            </w:r>
            <w:proofErr w:type="spellStart"/>
            <w:r>
              <w:t>Gesewo</w:t>
            </w:r>
            <w:proofErr w:type="spellEnd"/>
            <w:r>
              <w:t xml:space="preserve">. </w:t>
            </w:r>
          </w:p>
          <w:p w:rsidR="00D031C4" w:rsidRDefault="00D031C4" w:rsidP="009B0A6F">
            <w:pPr>
              <w:pStyle w:val="Listenaufzhlung"/>
            </w:pPr>
            <w:r>
              <w:t>Es werden keine unbegrenzt wiederkehrenden Beiträge gesprochen.</w:t>
            </w:r>
          </w:p>
          <w:p w:rsidR="00D031C4" w:rsidRDefault="00D031C4" w:rsidP="009B0A6F">
            <w:pPr>
              <w:pStyle w:val="Listenaufzhlung"/>
            </w:pPr>
            <w:r>
              <w:lastRenderedPageBreak/>
              <w:t xml:space="preserve">Die Beiträge werden je nach Situation </w:t>
            </w:r>
          </w:p>
          <w:p w:rsidR="00D031C4" w:rsidRPr="00D031C4" w:rsidRDefault="00D031C4" w:rsidP="009B0A6F">
            <w:pPr>
              <w:pStyle w:val="Listenaufzhlung"/>
            </w:pPr>
            <w:r>
              <w:t xml:space="preserve">rückzahlbar oder à </w:t>
            </w:r>
            <w:proofErr w:type="spellStart"/>
            <w:r>
              <w:t>fonds</w:t>
            </w:r>
            <w:proofErr w:type="spellEnd"/>
            <w:r>
              <w:t xml:space="preserve"> </w:t>
            </w:r>
            <w:proofErr w:type="spellStart"/>
            <w:r>
              <w:t>perdu</w:t>
            </w:r>
            <w:proofErr w:type="spellEnd"/>
            <w:r>
              <w:t xml:space="preserve"> gewährt.</w:t>
            </w:r>
          </w:p>
        </w:tc>
        <w:tc>
          <w:tcPr>
            <w:tcW w:w="4536" w:type="dxa"/>
          </w:tcPr>
          <w:p w:rsidR="00D031C4" w:rsidRDefault="00D031C4" w:rsidP="008D281D">
            <w:pPr>
              <w:rPr>
                <w:b/>
              </w:rPr>
            </w:pPr>
          </w:p>
        </w:tc>
        <w:tc>
          <w:tcPr>
            <w:tcW w:w="4252" w:type="dxa"/>
          </w:tcPr>
          <w:p w:rsidR="00D031C4" w:rsidRDefault="00D031C4" w:rsidP="008D281D">
            <w:pPr>
              <w:rPr>
                <w:b/>
              </w:rPr>
            </w:pPr>
          </w:p>
        </w:tc>
      </w:tr>
      <w:tr w:rsidR="009B0A6F" w:rsidTr="00354403">
        <w:tc>
          <w:tcPr>
            <w:tcW w:w="5524" w:type="dxa"/>
          </w:tcPr>
          <w:p w:rsidR="009B0A6F" w:rsidRDefault="00354403" w:rsidP="00354403">
            <w:pPr>
              <w:pStyle w:val="Liste11"/>
            </w:pPr>
            <w:r>
              <w:t xml:space="preserve">4.2  </w:t>
            </w:r>
            <w:r w:rsidR="009B0A6F" w:rsidRPr="009B0A6F">
              <w:t>Verwendung</w:t>
            </w:r>
          </w:p>
        </w:tc>
        <w:tc>
          <w:tcPr>
            <w:tcW w:w="4536" w:type="dxa"/>
          </w:tcPr>
          <w:p w:rsidR="009B0A6F" w:rsidRDefault="009B0A6F" w:rsidP="00354403">
            <w:pPr>
              <w:pStyle w:val="Liste11"/>
            </w:pPr>
          </w:p>
        </w:tc>
        <w:tc>
          <w:tcPr>
            <w:tcW w:w="4252" w:type="dxa"/>
          </w:tcPr>
          <w:p w:rsidR="009B0A6F" w:rsidRDefault="009B0A6F" w:rsidP="00354403">
            <w:pPr>
              <w:pStyle w:val="Liste11"/>
            </w:pPr>
          </w:p>
        </w:tc>
      </w:tr>
      <w:tr w:rsidR="009B0A6F" w:rsidTr="00354403">
        <w:tc>
          <w:tcPr>
            <w:tcW w:w="5524" w:type="dxa"/>
          </w:tcPr>
          <w:p w:rsidR="009B0A6F" w:rsidRPr="009B0A6F" w:rsidRDefault="009B0A6F" w:rsidP="009B0A6F">
            <w:pPr>
              <w:pStyle w:val="Listentext"/>
              <w:ind w:left="596" w:hanging="596"/>
            </w:pPr>
            <w:r>
              <w:t xml:space="preserve">4.2.1   </w:t>
            </w:r>
            <w:r w:rsidRPr="009B0A6F">
              <w:t xml:space="preserve">Solidaritätsbeiträge können gesprochen </w:t>
            </w:r>
            <w:r>
              <w:t>w</w:t>
            </w:r>
            <w:r w:rsidRPr="009B0A6F">
              <w:t>erden</w:t>
            </w:r>
          </w:p>
          <w:p w:rsidR="009B0A6F" w:rsidRPr="009B0A6F" w:rsidRDefault="009B0A6F" w:rsidP="009B0A6F">
            <w:pPr>
              <w:pStyle w:val="Listenaufzhlung"/>
            </w:pPr>
            <w:r w:rsidRPr="009B0A6F">
              <w:t>als Überbrückungshilfe</w:t>
            </w:r>
          </w:p>
          <w:p w:rsidR="009B0A6F" w:rsidRPr="009B0A6F" w:rsidRDefault="009B0A6F" w:rsidP="009B0A6F">
            <w:pPr>
              <w:pStyle w:val="Listenaufzhlung"/>
            </w:pPr>
            <w:r w:rsidRPr="009B0A6F">
              <w:t>zur Tilgung von Mietzinsrückständen</w:t>
            </w:r>
          </w:p>
          <w:p w:rsidR="009B0A6F" w:rsidRPr="009B0A6F" w:rsidRDefault="009B0A6F" w:rsidP="009B0A6F">
            <w:pPr>
              <w:pStyle w:val="Listenaufzhlung"/>
            </w:pPr>
            <w:r w:rsidRPr="009B0A6F">
              <w:t>für den teilweisen oder ganzen Erlass des Mietzinses für längstens 6 Monate</w:t>
            </w:r>
          </w:p>
          <w:p w:rsidR="009B0A6F" w:rsidRPr="009B0A6F" w:rsidRDefault="009B0A6F" w:rsidP="009B0A6F">
            <w:pPr>
              <w:pStyle w:val="Listenaufzhlung"/>
            </w:pPr>
            <w:r w:rsidRPr="009B0A6F">
              <w:t>für Massnahmen, welche die Lebensqualität der Gesuchstellenden massgeblich erhöhen</w:t>
            </w:r>
          </w:p>
        </w:tc>
        <w:tc>
          <w:tcPr>
            <w:tcW w:w="4536" w:type="dxa"/>
          </w:tcPr>
          <w:p w:rsidR="009B0A6F" w:rsidRDefault="009B0A6F" w:rsidP="008D281D">
            <w:pPr>
              <w:rPr>
                <w:b/>
              </w:rPr>
            </w:pPr>
          </w:p>
        </w:tc>
        <w:tc>
          <w:tcPr>
            <w:tcW w:w="4252" w:type="dxa"/>
          </w:tcPr>
          <w:p w:rsidR="009B0A6F" w:rsidRDefault="009B0A6F" w:rsidP="008D281D">
            <w:pPr>
              <w:rPr>
                <w:b/>
              </w:rPr>
            </w:pPr>
          </w:p>
        </w:tc>
      </w:tr>
      <w:tr w:rsidR="009B0A6F" w:rsidTr="00354403">
        <w:tc>
          <w:tcPr>
            <w:tcW w:w="5524" w:type="dxa"/>
          </w:tcPr>
          <w:p w:rsidR="009B0A6F" w:rsidRPr="009B0A6F" w:rsidRDefault="009B0A6F" w:rsidP="009B0A6F">
            <w:pPr>
              <w:pStyle w:val="Listentext"/>
              <w:ind w:left="596" w:hanging="596"/>
            </w:pPr>
            <w:r>
              <w:t xml:space="preserve">4.2.2. </w:t>
            </w:r>
            <w:r>
              <w:t xml:space="preserve"> </w:t>
            </w:r>
            <w:r>
              <w:t>Übersteige</w:t>
            </w:r>
            <w:bookmarkStart w:id="0" w:name="_GoBack"/>
            <w:bookmarkEnd w:id="0"/>
            <w:r>
              <w:t xml:space="preserve">n die Mittel des Fonds am </w:t>
            </w:r>
            <w:r w:rsidRPr="009B0A6F">
              <w:t>Ende eines Geschäftsjahrs den Sockelbestand von CHF 50‘000, so wird der überschiessende Teil als fixer Betrag pro Mietverhältnis über die Nebenkostenabrechnung an die Mieterinnern und Mieter zurückerstattet.</w:t>
            </w:r>
          </w:p>
          <w:p w:rsidR="009B0A6F" w:rsidRDefault="009B0A6F" w:rsidP="008A16F5">
            <w:r>
              <w:t>Anmerkung: Aktuell liegen ca. CHF 120’000 im Fonds. Die jährlichen entnahmen liegen zwischen ca. CHF 7’000 und CHF 40’000.</w:t>
            </w:r>
          </w:p>
        </w:tc>
        <w:tc>
          <w:tcPr>
            <w:tcW w:w="4536" w:type="dxa"/>
          </w:tcPr>
          <w:p w:rsidR="009B0A6F" w:rsidRDefault="009B0A6F" w:rsidP="008D281D">
            <w:pPr>
              <w:rPr>
                <w:b/>
              </w:rPr>
            </w:pPr>
          </w:p>
        </w:tc>
        <w:tc>
          <w:tcPr>
            <w:tcW w:w="4252" w:type="dxa"/>
          </w:tcPr>
          <w:p w:rsidR="009B0A6F" w:rsidRDefault="009B0A6F" w:rsidP="008D281D">
            <w:pPr>
              <w:rPr>
                <w:b/>
              </w:rPr>
            </w:pPr>
          </w:p>
        </w:tc>
      </w:tr>
      <w:tr w:rsidR="009B0A6F" w:rsidTr="00354403">
        <w:tc>
          <w:tcPr>
            <w:tcW w:w="5524" w:type="dxa"/>
          </w:tcPr>
          <w:p w:rsidR="009B0A6F" w:rsidRDefault="009B0A6F" w:rsidP="00203FDC">
            <w:pPr>
              <w:pStyle w:val="Liste1"/>
            </w:pPr>
            <w:r w:rsidRPr="009B0A6F">
              <w:t>Solidaritätskommission</w:t>
            </w:r>
          </w:p>
        </w:tc>
        <w:tc>
          <w:tcPr>
            <w:tcW w:w="4536" w:type="dxa"/>
          </w:tcPr>
          <w:p w:rsidR="009B0A6F" w:rsidRDefault="009B0A6F" w:rsidP="00203FDC">
            <w:pPr>
              <w:pStyle w:val="Liste1"/>
              <w:numPr>
                <w:ilvl w:val="0"/>
                <w:numId w:val="0"/>
              </w:numPr>
            </w:pPr>
          </w:p>
        </w:tc>
        <w:tc>
          <w:tcPr>
            <w:tcW w:w="4252" w:type="dxa"/>
          </w:tcPr>
          <w:p w:rsidR="009B0A6F" w:rsidRDefault="009B0A6F" w:rsidP="00203FDC">
            <w:pPr>
              <w:pStyle w:val="Liste1"/>
              <w:numPr>
                <w:ilvl w:val="0"/>
                <w:numId w:val="0"/>
              </w:numPr>
              <w:ind w:left="567"/>
            </w:pPr>
          </w:p>
        </w:tc>
      </w:tr>
      <w:tr w:rsidR="009B0A6F" w:rsidTr="00354403">
        <w:tc>
          <w:tcPr>
            <w:tcW w:w="5524" w:type="dxa"/>
          </w:tcPr>
          <w:p w:rsidR="009B0A6F" w:rsidRPr="009B0A6F" w:rsidRDefault="008A16F5" w:rsidP="008A16F5">
            <w:pPr>
              <w:pStyle w:val="Liste11"/>
              <w:ind w:left="596" w:hanging="567"/>
            </w:pPr>
            <w:r>
              <w:t xml:space="preserve">5.1      </w:t>
            </w:r>
            <w:r w:rsidR="009B0A6F" w:rsidRPr="009B0A6F">
              <w:t>Die Solidaritätskommission gemäss Art. 7 des Reglements des Pflichtdarlehensfonds ist zuständig für den Vollzug dieses Reglements, insbesondere die Behandlung und den Entscheid über die Gesuche.</w:t>
            </w:r>
          </w:p>
        </w:tc>
        <w:tc>
          <w:tcPr>
            <w:tcW w:w="4536" w:type="dxa"/>
          </w:tcPr>
          <w:p w:rsidR="009B0A6F" w:rsidRDefault="009B0A6F" w:rsidP="00203FDC">
            <w:pPr>
              <w:pStyle w:val="Liste1"/>
              <w:numPr>
                <w:ilvl w:val="0"/>
                <w:numId w:val="0"/>
              </w:numPr>
            </w:pPr>
          </w:p>
        </w:tc>
        <w:tc>
          <w:tcPr>
            <w:tcW w:w="4252" w:type="dxa"/>
          </w:tcPr>
          <w:p w:rsidR="009B0A6F" w:rsidRDefault="009B0A6F" w:rsidP="00203FDC">
            <w:pPr>
              <w:pStyle w:val="Liste1"/>
              <w:numPr>
                <w:ilvl w:val="0"/>
                <w:numId w:val="0"/>
              </w:numPr>
              <w:ind w:left="567"/>
            </w:pPr>
          </w:p>
        </w:tc>
      </w:tr>
      <w:tr w:rsidR="009B0A6F" w:rsidTr="00354403">
        <w:tc>
          <w:tcPr>
            <w:tcW w:w="5524" w:type="dxa"/>
          </w:tcPr>
          <w:p w:rsidR="009B0A6F" w:rsidRPr="009B0A6F" w:rsidRDefault="008A16F5" w:rsidP="008A16F5">
            <w:pPr>
              <w:pStyle w:val="Liste11"/>
              <w:ind w:left="596" w:hanging="567"/>
            </w:pPr>
            <w:r>
              <w:t xml:space="preserve">5.2      </w:t>
            </w:r>
            <w:r w:rsidR="009B0A6F" w:rsidRPr="009B0A6F">
              <w:t xml:space="preserve">Die Geschäftsstelle bereitet die Geschäfte der Solidaritätskommission vor, führt das Protokoll und vollzieht deren Beschlüsse. Sie nimmt mit beratender </w:t>
            </w:r>
            <w:r w:rsidR="009B0A6F" w:rsidRPr="009B0A6F">
              <w:lastRenderedPageBreak/>
              <w:t>Stimme an den Sitzungen der Solidaritätskommission teil.</w:t>
            </w:r>
          </w:p>
        </w:tc>
        <w:tc>
          <w:tcPr>
            <w:tcW w:w="4536" w:type="dxa"/>
          </w:tcPr>
          <w:p w:rsidR="009B0A6F" w:rsidRDefault="009B0A6F" w:rsidP="00203FDC">
            <w:pPr>
              <w:pStyle w:val="Liste1"/>
              <w:numPr>
                <w:ilvl w:val="0"/>
                <w:numId w:val="0"/>
              </w:numPr>
            </w:pPr>
          </w:p>
        </w:tc>
        <w:tc>
          <w:tcPr>
            <w:tcW w:w="4252" w:type="dxa"/>
          </w:tcPr>
          <w:p w:rsidR="009B0A6F" w:rsidRDefault="009B0A6F" w:rsidP="00203FDC">
            <w:pPr>
              <w:pStyle w:val="Liste1"/>
              <w:numPr>
                <w:ilvl w:val="0"/>
                <w:numId w:val="0"/>
              </w:numPr>
              <w:ind w:left="567"/>
            </w:pPr>
          </w:p>
        </w:tc>
      </w:tr>
      <w:tr w:rsidR="009B0A6F" w:rsidTr="00354403">
        <w:tc>
          <w:tcPr>
            <w:tcW w:w="5524" w:type="dxa"/>
          </w:tcPr>
          <w:p w:rsidR="009B0A6F" w:rsidRPr="009B0A6F" w:rsidRDefault="008A16F5" w:rsidP="008A16F5">
            <w:pPr>
              <w:pStyle w:val="Listentext"/>
              <w:ind w:hanging="538"/>
            </w:pPr>
            <w:r>
              <w:t xml:space="preserve">5.3      </w:t>
            </w:r>
            <w:r w:rsidR="009B0A6F" w:rsidRPr="009B0A6F">
              <w:t>Die Solidaritätskommission informiert die Genossenschaft an der Generalversammlung unter Wahrung des Daten- und Persönlichkeitsschutzes über die Verwendung der Gelder.</w:t>
            </w:r>
          </w:p>
        </w:tc>
        <w:tc>
          <w:tcPr>
            <w:tcW w:w="4536" w:type="dxa"/>
          </w:tcPr>
          <w:p w:rsidR="009B0A6F" w:rsidRDefault="009B0A6F" w:rsidP="00203FDC">
            <w:pPr>
              <w:pStyle w:val="Liste1"/>
              <w:numPr>
                <w:ilvl w:val="0"/>
                <w:numId w:val="0"/>
              </w:numPr>
            </w:pPr>
          </w:p>
        </w:tc>
        <w:tc>
          <w:tcPr>
            <w:tcW w:w="4252" w:type="dxa"/>
          </w:tcPr>
          <w:p w:rsidR="009B0A6F" w:rsidRDefault="009B0A6F" w:rsidP="00203FDC">
            <w:pPr>
              <w:pStyle w:val="Liste1"/>
              <w:numPr>
                <w:ilvl w:val="0"/>
                <w:numId w:val="0"/>
              </w:numPr>
              <w:ind w:left="567"/>
            </w:pPr>
          </w:p>
        </w:tc>
      </w:tr>
      <w:tr w:rsidR="009B0A6F" w:rsidTr="00354403">
        <w:tc>
          <w:tcPr>
            <w:tcW w:w="5524" w:type="dxa"/>
          </w:tcPr>
          <w:p w:rsidR="009B0A6F" w:rsidRPr="00203FDC" w:rsidRDefault="009B0A6F" w:rsidP="00203FDC">
            <w:pPr>
              <w:rPr>
                <w:b/>
              </w:rPr>
            </w:pPr>
            <w:r>
              <w:rPr>
                <w:b/>
              </w:rPr>
              <w:t>B: Reglement Innovations</w:t>
            </w:r>
            <w:r w:rsidRPr="00D031C4">
              <w:rPr>
                <w:b/>
              </w:rPr>
              <w:t>fonds</w:t>
            </w:r>
          </w:p>
        </w:tc>
        <w:tc>
          <w:tcPr>
            <w:tcW w:w="4536" w:type="dxa"/>
          </w:tcPr>
          <w:p w:rsidR="009B0A6F" w:rsidRPr="00203FDC" w:rsidRDefault="009B0A6F" w:rsidP="00203FDC">
            <w:pPr>
              <w:rPr>
                <w:b/>
              </w:rPr>
            </w:pPr>
          </w:p>
        </w:tc>
        <w:tc>
          <w:tcPr>
            <w:tcW w:w="4252" w:type="dxa"/>
          </w:tcPr>
          <w:p w:rsidR="009B0A6F" w:rsidRPr="00203FDC" w:rsidRDefault="009B0A6F" w:rsidP="00203FDC">
            <w:pPr>
              <w:rPr>
                <w:b/>
              </w:rPr>
            </w:pPr>
          </w:p>
        </w:tc>
      </w:tr>
      <w:tr w:rsidR="00203FDC" w:rsidTr="00354403">
        <w:tc>
          <w:tcPr>
            <w:tcW w:w="5524" w:type="dxa"/>
          </w:tcPr>
          <w:p w:rsidR="00203FDC" w:rsidRPr="00203FDC" w:rsidRDefault="00203FDC" w:rsidP="00203FDC">
            <w:pPr>
              <w:pStyle w:val="Liste1"/>
              <w:numPr>
                <w:ilvl w:val="0"/>
                <w:numId w:val="18"/>
              </w:numPr>
            </w:pPr>
            <w:r w:rsidRPr="00203FDC">
              <w:t>Zweck</w:t>
            </w:r>
          </w:p>
          <w:p w:rsidR="00203FDC" w:rsidRDefault="00203FDC" w:rsidP="00203FDC">
            <w:pPr>
              <w:pStyle w:val="Listentext"/>
            </w:pPr>
            <w:r w:rsidRPr="00203FDC">
              <w:t xml:space="preserve">Der Innovationsfonds hält finanzielle Mittel bereit, um Ideen und Projekte im Sinn und/oder zum Nutzen der </w:t>
            </w:r>
            <w:proofErr w:type="spellStart"/>
            <w:r w:rsidRPr="00203FDC">
              <w:t>Gesewo</w:t>
            </w:r>
            <w:proofErr w:type="spellEnd"/>
            <w:r w:rsidRPr="00203FDC">
              <w:t xml:space="preserve"> zu fördern, für welche im Rahmen der ordentlichen Geschäftstätigkeit keine Mittel zur Verfügung gestellt werden können.</w:t>
            </w:r>
          </w:p>
        </w:tc>
        <w:tc>
          <w:tcPr>
            <w:tcW w:w="4536" w:type="dxa"/>
          </w:tcPr>
          <w:p w:rsidR="00203FDC" w:rsidRDefault="00203FDC" w:rsidP="00203FDC">
            <w:pPr>
              <w:pStyle w:val="Liste1"/>
              <w:numPr>
                <w:ilvl w:val="0"/>
                <w:numId w:val="0"/>
              </w:numPr>
            </w:pPr>
          </w:p>
        </w:tc>
        <w:tc>
          <w:tcPr>
            <w:tcW w:w="4252" w:type="dxa"/>
          </w:tcPr>
          <w:p w:rsidR="00203FDC" w:rsidRDefault="00203FDC" w:rsidP="00203FDC">
            <w:pPr>
              <w:pStyle w:val="Liste1"/>
              <w:numPr>
                <w:ilvl w:val="0"/>
                <w:numId w:val="0"/>
              </w:numPr>
              <w:ind w:left="567"/>
            </w:pPr>
          </w:p>
        </w:tc>
      </w:tr>
      <w:tr w:rsidR="00203FDC" w:rsidTr="00354403">
        <w:tc>
          <w:tcPr>
            <w:tcW w:w="5524" w:type="dxa"/>
          </w:tcPr>
          <w:p w:rsidR="00203FDC" w:rsidRPr="00203FDC" w:rsidRDefault="00203FDC" w:rsidP="00203FDC">
            <w:pPr>
              <w:pStyle w:val="Liste1"/>
              <w:numPr>
                <w:ilvl w:val="0"/>
                <w:numId w:val="18"/>
              </w:numPr>
            </w:pPr>
            <w:r>
              <w:t>Mittelansatz</w:t>
            </w:r>
          </w:p>
        </w:tc>
        <w:tc>
          <w:tcPr>
            <w:tcW w:w="4536" w:type="dxa"/>
          </w:tcPr>
          <w:p w:rsidR="00203FDC" w:rsidRDefault="00203FDC" w:rsidP="00203FDC">
            <w:pPr>
              <w:pStyle w:val="Liste1"/>
              <w:numPr>
                <w:ilvl w:val="0"/>
                <w:numId w:val="0"/>
              </w:numPr>
            </w:pPr>
          </w:p>
        </w:tc>
        <w:tc>
          <w:tcPr>
            <w:tcW w:w="4252" w:type="dxa"/>
          </w:tcPr>
          <w:p w:rsidR="00203FDC" w:rsidRDefault="00203FDC" w:rsidP="00203FDC">
            <w:pPr>
              <w:pStyle w:val="Liste1"/>
              <w:numPr>
                <w:ilvl w:val="0"/>
                <w:numId w:val="0"/>
              </w:numPr>
              <w:ind w:left="567"/>
            </w:pPr>
          </w:p>
        </w:tc>
      </w:tr>
      <w:tr w:rsidR="00203FDC" w:rsidTr="00354403">
        <w:tc>
          <w:tcPr>
            <w:tcW w:w="5524" w:type="dxa"/>
          </w:tcPr>
          <w:p w:rsidR="00354403" w:rsidRDefault="00354403" w:rsidP="008A16F5">
            <w:pPr>
              <w:pStyle w:val="Listentext"/>
              <w:ind w:hanging="567"/>
            </w:pPr>
            <w:r>
              <w:t>2.1.</w:t>
            </w:r>
            <w:r>
              <w:tab/>
              <w:t xml:space="preserve">Die Mieterinnen und Mieter der </w:t>
            </w:r>
            <w:proofErr w:type="spellStart"/>
            <w:r>
              <w:t>Gesewo</w:t>
            </w:r>
            <w:proofErr w:type="spellEnd"/>
            <w:r>
              <w:t xml:space="preserve"> entrichten einen Innovationbeitrag. Die Höhe des monatlichen Beitrages pro Mietverhältnis (Wohnung oder Gewerberaum) beträgt fünf Franken. Er wird separat auf dem Mietvertrag ausgewiesen und wird zusammen mit dem Mietzins fällig.</w:t>
            </w:r>
          </w:p>
          <w:p w:rsidR="00203FDC" w:rsidRDefault="00354403" w:rsidP="00354403">
            <w:r>
              <w:t>Kommentar: bei 300 Mietverhältnissen ergibt das jährlich CHF 18'000.</w:t>
            </w:r>
          </w:p>
        </w:tc>
        <w:tc>
          <w:tcPr>
            <w:tcW w:w="4536" w:type="dxa"/>
          </w:tcPr>
          <w:p w:rsidR="00203FDC" w:rsidRDefault="00203FDC" w:rsidP="00203FDC">
            <w:pPr>
              <w:pStyle w:val="Liste1"/>
              <w:numPr>
                <w:ilvl w:val="0"/>
                <w:numId w:val="0"/>
              </w:numPr>
            </w:pPr>
          </w:p>
        </w:tc>
        <w:tc>
          <w:tcPr>
            <w:tcW w:w="4252" w:type="dxa"/>
          </w:tcPr>
          <w:p w:rsidR="00203FDC" w:rsidRDefault="00203FDC" w:rsidP="00203FDC">
            <w:pPr>
              <w:pStyle w:val="Liste1"/>
              <w:numPr>
                <w:ilvl w:val="0"/>
                <w:numId w:val="0"/>
              </w:numPr>
              <w:ind w:left="567"/>
            </w:pPr>
          </w:p>
        </w:tc>
      </w:tr>
      <w:tr w:rsidR="00203FDC" w:rsidTr="00354403">
        <w:tc>
          <w:tcPr>
            <w:tcW w:w="5524" w:type="dxa"/>
          </w:tcPr>
          <w:p w:rsidR="00203FDC" w:rsidRDefault="00203FDC" w:rsidP="00354403">
            <w:pPr>
              <w:pStyle w:val="Listentext"/>
              <w:ind w:hanging="567"/>
            </w:pPr>
            <w:r>
              <w:t>2.1.a.</w:t>
            </w:r>
            <w:r>
              <w:t xml:space="preserve"> </w:t>
            </w:r>
            <w:r>
              <w:t xml:space="preserve"> Variante: Die Mieterinnen und Mieter der </w:t>
            </w:r>
            <w:proofErr w:type="spellStart"/>
            <w:r>
              <w:t>Gesewo</w:t>
            </w:r>
            <w:proofErr w:type="spellEnd"/>
            <w:r>
              <w:t xml:space="preserve"> entrichten einen Innovationbeitrag. Die Höhe des monatlichen Beitrages pro Mietverhältnis (Wohnung </w:t>
            </w:r>
            <w:r>
              <w:lastRenderedPageBreak/>
              <w:t>oder Gewerberaum) beträgt zehn Franken. Er wird separat auf dem Mietvertrag ausgewiesen und wird zusammen mit dem Mietzins fällig.</w:t>
            </w:r>
          </w:p>
          <w:p w:rsidR="00203FDC" w:rsidRDefault="00203FDC" w:rsidP="00203FDC">
            <w:r>
              <w:t>Kommentar: bei 300 Mietverhältnissen ergibt das jährlich CHF 36'000.</w:t>
            </w:r>
          </w:p>
        </w:tc>
        <w:tc>
          <w:tcPr>
            <w:tcW w:w="4536" w:type="dxa"/>
          </w:tcPr>
          <w:p w:rsidR="00203FDC" w:rsidRDefault="00203FDC" w:rsidP="00203FDC">
            <w:pPr>
              <w:pStyle w:val="Liste1"/>
              <w:numPr>
                <w:ilvl w:val="0"/>
                <w:numId w:val="0"/>
              </w:numPr>
            </w:pPr>
          </w:p>
        </w:tc>
        <w:tc>
          <w:tcPr>
            <w:tcW w:w="4252" w:type="dxa"/>
          </w:tcPr>
          <w:p w:rsidR="00203FDC" w:rsidRDefault="00203FDC" w:rsidP="00203FDC">
            <w:pPr>
              <w:pStyle w:val="Liste1"/>
              <w:numPr>
                <w:ilvl w:val="0"/>
                <w:numId w:val="0"/>
              </w:numPr>
              <w:ind w:left="567"/>
            </w:pPr>
          </w:p>
        </w:tc>
      </w:tr>
      <w:tr w:rsidR="00203FDC" w:rsidTr="00354403">
        <w:tc>
          <w:tcPr>
            <w:tcW w:w="5524" w:type="dxa"/>
          </w:tcPr>
          <w:p w:rsidR="00203FDC" w:rsidRPr="00203FDC" w:rsidRDefault="00203FDC" w:rsidP="00354403">
            <w:pPr>
              <w:pStyle w:val="Liste11"/>
              <w:ind w:left="596" w:hanging="596"/>
            </w:pPr>
            <w:r w:rsidRPr="00354403">
              <w:t>2.2.</w:t>
            </w:r>
            <w:r w:rsidRPr="00354403">
              <w:tab/>
              <w:t>Übersteigen die Mittel des Fonds am Ende eines Geschäftsjahrs den Sockelbestand von CHF 50‘000, so wird</w:t>
            </w:r>
            <w:r w:rsidRPr="00203FDC">
              <w:t xml:space="preserve"> der überschiessende Teil als fixer Betrag pro Mietverhältnis über die Nebenkostenabrechnung an die Mieterinnen und Mieter zurückerstattet.</w:t>
            </w:r>
          </w:p>
        </w:tc>
        <w:tc>
          <w:tcPr>
            <w:tcW w:w="4536" w:type="dxa"/>
          </w:tcPr>
          <w:p w:rsidR="00203FDC" w:rsidRDefault="00203FDC" w:rsidP="00203FDC">
            <w:pPr>
              <w:pStyle w:val="Liste1"/>
              <w:numPr>
                <w:ilvl w:val="0"/>
                <w:numId w:val="0"/>
              </w:numPr>
            </w:pPr>
          </w:p>
        </w:tc>
        <w:tc>
          <w:tcPr>
            <w:tcW w:w="4252" w:type="dxa"/>
          </w:tcPr>
          <w:p w:rsidR="00203FDC" w:rsidRDefault="00203FDC" w:rsidP="00203FDC">
            <w:pPr>
              <w:pStyle w:val="Liste1"/>
              <w:numPr>
                <w:ilvl w:val="0"/>
                <w:numId w:val="0"/>
              </w:numPr>
              <w:ind w:left="567"/>
            </w:pPr>
          </w:p>
        </w:tc>
      </w:tr>
      <w:tr w:rsidR="00203FDC" w:rsidTr="00354403">
        <w:tc>
          <w:tcPr>
            <w:tcW w:w="5524" w:type="dxa"/>
          </w:tcPr>
          <w:p w:rsidR="00203FDC" w:rsidRPr="00203FDC" w:rsidRDefault="00203FDC" w:rsidP="00354403">
            <w:pPr>
              <w:pStyle w:val="Listentext"/>
              <w:ind w:hanging="567"/>
            </w:pPr>
            <w:r w:rsidRPr="00203FDC">
              <w:t xml:space="preserve">2.2.a. </w:t>
            </w:r>
            <w:r>
              <w:t xml:space="preserve"> </w:t>
            </w:r>
            <w:r w:rsidRPr="00203FDC">
              <w:t>Variante: Übersteigen die Mittel des Fonds am Ende eines Geschäftsjahrs den Sockelbestand von CHF 100‘000, so wird der überschiessende Teil als fixer Betrag pro Mietverhältnis über die Nebenkostenabrechnung an die Mieterinnen und Mieter zurückerstattet.</w:t>
            </w:r>
          </w:p>
        </w:tc>
        <w:tc>
          <w:tcPr>
            <w:tcW w:w="4536" w:type="dxa"/>
          </w:tcPr>
          <w:p w:rsidR="00203FDC" w:rsidRDefault="00203FDC" w:rsidP="00203FDC">
            <w:pPr>
              <w:pStyle w:val="Liste1"/>
              <w:numPr>
                <w:ilvl w:val="0"/>
                <w:numId w:val="0"/>
              </w:numPr>
            </w:pPr>
          </w:p>
        </w:tc>
        <w:tc>
          <w:tcPr>
            <w:tcW w:w="4252" w:type="dxa"/>
          </w:tcPr>
          <w:p w:rsidR="00203FDC" w:rsidRDefault="00203FDC" w:rsidP="00203FDC">
            <w:pPr>
              <w:pStyle w:val="Liste1"/>
              <w:numPr>
                <w:ilvl w:val="0"/>
                <w:numId w:val="0"/>
              </w:numPr>
              <w:ind w:left="567"/>
            </w:pPr>
          </w:p>
        </w:tc>
      </w:tr>
      <w:tr w:rsidR="00203FDC" w:rsidTr="00354403">
        <w:tc>
          <w:tcPr>
            <w:tcW w:w="5524" w:type="dxa"/>
          </w:tcPr>
          <w:p w:rsidR="00203FDC" w:rsidRPr="00203FDC" w:rsidRDefault="00203FDC" w:rsidP="00203FDC">
            <w:pPr>
              <w:pStyle w:val="Liste1"/>
            </w:pPr>
            <w:r w:rsidRPr="00203FDC">
              <w:t>Mittelvergabe</w:t>
            </w:r>
          </w:p>
        </w:tc>
        <w:tc>
          <w:tcPr>
            <w:tcW w:w="4536" w:type="dxa"/>
          </w:tcPr>
          <w:p w:rsidR="00203FDC" w:rsidRDefault="00203FDC" w:rsidP="00203FDC">
            <w:pPr>
              <w:pStyle w:val="Liste1"/>
              <w:numPr>
                <w:ilvl w:val="0"/>
                <w:numId w:val="0"/>
              </w:numPr>
            </w:pPr>
          </w:p>
        </w:tc>
        <w:tc>
          <w:tcPr>
            <w:tcW w:w="4252" w:type="dxa"/>
          </w:tcPr>
          <w:p w:rsidR="00203FDC" w:rsidRDefault="00203FDC" w:rsidP="00203FDC">
            <w:pPr>
              <w:pStyle w:val="Liste1"/>
              <w:numPr>
                <w:ilvl w:val="0"/>
                <w:numId w:val="0"/>
              </w:numPr>
            </w:pPr>
          </w:p>
        </w:tc>
      </w:tr>
      <w:tr w:rsidR="00203FDC" w:rsidTr="00354403">
        <w:tc>
          <w:tcPr>
            <w:tcW w:w="5524" w:type="dxa"/>
          </w:tcPr>
          <w:p w:rsidR="00203FDC" w:rsidRPr="00203FDC" w:rsidRDefault="00203FDC" w:rsidP="00354403">
            <w:pPr>
              <w:pStyle w:val="Liste11"/>
              <w:ind w:left="596" w:hanging="596"/>
            </w:pPr>
            <w:r w:rsidRPr="00203FDC">
              <w:t>3.1.</w:t>
            </w:r>
            <w:r w:rsidRPr="00203FDC">
              <w:tab/>
              <w:t>Die Generalversammlung entscheidet über die Vergabe von Mitteln aus dem Innovationsfonds</w:t>
            </w:r>
          </w:p>
        </w:tc>
        <w:tc>
          <w:tcPr>
            <w:tcW w:w="4536" w:type="dxa"/>
          </w:tcPr>
          <w:p w:rsidR="00203FDC" w:rsidRDefault="00203FDC" w:rsidP="00354403">
            <w:pPr>
              <w:pStyle w:val="Liste11"/>
            </w:pPr>
          </w:p>
        </w:tc>
        <w:tc>
          <w:tcPr>
            <w:tcW w:w="4252" w:type="dxa"/>
          </w:tcPr>
          <w:p w:rsidR="00203FDC" w:rsidRDefault="00203FDC" w:rsidP="00354403">
            <w:pPr>
              <w:pStyle w:val="Liste11"/>
            </w:pPr>
          </w:p>
        </w:tc>
      </w:tr>
      <w:tr w:rsidR="00203FDC" w:rsidTr="00354403">
        <w:tc>
          <w:tcPr>
            <w:tcW w:w="5524" w:type="dxa"/>
          </w:tcPr>
          <w:p w:rsidR="00203FDC" w:rsidRPr="00203FDC" w:rsidRDefault="00203FDC" w:rsidP="00354403">
            <w:pPr>
              <w:pStyle w:val="Listentext"/>
              <w:ind w:hanging="538"/>
            </w:pPr>
            <w:r w:rsidRPr="00203FDC">
              <w:t>3.2.</w:t>
            </w:r>
            <w:r w:rsidRPr="00203FDC">
              <w:tab/>
              <w:t>Anträge für Beiträge aus dem Innovationsfonds sind dem Vorstand mit Begründung und schriftlich einzureichen. Die Behandlung erfolgt an der nächstfolgenden ordentlichen oder ausserordentlichen Generalversammlung.</w:t>
            </w:r>
          </w:p>
        </w:tc>
        <w:tc>
          <w:tcPr>
            <w:tcW w:w="4536" w:type="dxa"/>
          </w:tcPr>
          <w:p w:rsidR="00203FDC" w:rsidRDefault="00203FDC" w:rsidP="00203FDC">
            <w:pPr>
              <w:pStyle w:val="Liste1"/>
              <w:numPr>
                <w:ilvl w:val="0"/>
                <w:numId w:val="0"/>
              </w:numPr>
            </w:pPr>
          </w:p>
        </w:tc>
        <w:tc>
          <w:tcPr>
            <w:tcW w:w="4252" w:type="dxa"/>
          </w:tcPr>
          <w:p w:rsidR="00203FDC" w:rsidRDefault="00203FDC" w:rsidP="00203FDC">
            <w:pPr>
              <w:pStyle w:val="Liste1"/>
              <w:numPr>
                <w:ilvl w:val="0"/>
                <w:numId w:val="0"/>
              </w:numPr>
            </w:pPr>
          </w:p>
        </w:tc>
      </w:tr>
    </w:tbl>
    <w:p w:rsidR="00D031C4" w:rsidRDefault="00D031C4" w:rsidP="008D281D">
      <w:pPr>
        <w:rPr>
          <w:b/>
        </w:rPr>
      </w:pPr>
    </w:p>
    <w:p w:rsidR="008A16F5" w:rsidRPr="008D281D" w:rsidRDefault="008A16F5" w:rsidP="008A16F5">
      <w:r>
        <w:t>Ort / Datum</w:t>
      </w:r>
      <w:r>
        <w:tab/>
        <w:t>_______________________________________________________________</w:t>
      </w:r>
    </w:p>
    <w:sectPr w:rsidR="008A16F5" w:rsidRPr="008D281D" w:rsidSect="008D281D">
      <w:headerReference w:type="default" r:id="rId9"/>
      <w:footerReference w:type="default" r:id="rId10"/>
      <w:headerReference w:type="first" r:id="rId11"/>
      <w:footerReference w:type="first" r:id="rId12"/>
      <w:pgSz w:w="16838" w:h="11906" w:orient="landscape"/>
      <w:pgMar w:top="1701" w:right="1701" w:bottom="851" w:left="1701" w:header="851" w:footer="8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281D" w:rsidRDefault="008D281D" w:rsidP="002E3F12">
      <w:pPr>
        <w:spacing w:line="240" w:lineRule="auto"/>
      </w:pPr>
      <w:r>
        <w:separator/>
      </w:r>
    </w:p>
  </w:endnote>
  <w:endnote w:type="continuationSeparator" w:id="0">
    <w:p w:rsidR="008D281D" w:rsidRDefault="008D281D" w:rsidP="002E3F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84E" w:rsidRPr="002E3F12" w:rsidRDefault="008A16F5">
    <w:pPr>
      <w:pStyle w:val="Fuzeile"/>
      <w:rPr>
        <w:sz w:val="11"/>
        <w:szCs w:val="11"/>
      </w:rPr>
    </w:pPr>
    <w:r>
      <w:rPr>
        <w:noProof/>
        <w:sz w:val="11"/>
        <w:szCs w:val="11"/>
        <w:lang w:eastAsia="de-CH"/>
      </w:rPr>
      <w:drawing>
        <wp:anchor distT="0" distB="0" distL="114300" distR="114300" simplePos="0" relativeHeight="251667456" behindDoc="0" locked="0" layoutInCell="1" allowOverlap="1" wp14:anchorId="38AAD12A" wp14:editId="0C2708E2">
          <wp:simplePos x="0" y="0"/>
          <wp:positionH relativeFrom="margin">
            <wp:posOffset>6760210</wp:posOffset>
          </wp:positionH>
          <wp:positionV relativeFrom="bottomMargin">
            <wp:posOffset>104140</wp:posOffset>
          </wp:positionV>
          <wp:extent cx="2322000" cy="500400"/>
          <wp:effectExtent l="0" t="0" r="2540" b="0"/>
          <wp:wrapNone/>
          <wp:docPr id="4" name="Grafik 4" descr="M:\ecubleue\GESEWO\CD-Unterlagen\gesewo_wordvorlage_brie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cubleue\GESEWO\CD-Unterlagen\gesewo_wordvorlage_brief.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22000" cy="50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B384E" w:rsidRPr="002E3F12">
      <w:rPr>
        <w:sz w:val="11"/>
        <w:szCs w:val="11"/>
      </w:rPr>
      <w:fldChar w:fldCharType="begin"/>
    </w:r>
    <w:r w:rsidR="00FB384E" w:rsidRPr="002E3F12">
      <w:rPr>
        <w:sz w:val="11"/>
        <w:szCs w:val="11"/>
      </w:rPr>
      <w:instrText xml:space="preserve"> FILENAME   \* MERGEFORMAT </w:instrText>
    </w:r>
    <w:r w:rsidR="00FB384E" w:rsidRPr="002E3F12">
      <w:rPr>
        <w:sz w:val="11"/>
        <w:szCs w:val="11"/>
      </w:rPr>
      <w:fldChar w:fldCharType="separate"/>
    </w:r>
    <w:r w:rsidR="00032343">
      <w:rPr>
        <w:noProof/>
        <w:sz w:val="11"/>
        <w:szCs w:val="11"/>
      </w:rPr>
      <w:t>Antwortformular Soli reloaded.docx</w:t>
    </w:r>
    <w:r w:rsidR="00FB384E" w:rsidRPr="002E3F12">
      <w:rPr>
        <w:sz w:val="11"/>
        <w:szCs w:val="1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84E" w:rsidRPr="00154145" w:rsidRDefault="008A16F5">
    <w:pPr>
      <w:pStyle w:val="Fuzeile"/>
      <w:rPr>
        <w:sz w:val="11"/>
        <w:szCs w:val="11"/>
      </w:rPr>
    </w:pPr>
    <w:r>
      <w:rPr>
        <w:noProof/>
        <w:sz w:val="11"/>
        <w:szCs w:val="11"/>
        <w:lang w:eastAsia="de-CH"/>
      </w:rPr>
      <w:drawing>
        <wp:anchor distT="0" distB="0" distL="114300" distR="114300" simplePos="0" relativeHeight="251661312" behindDoc="0" locked="0" layoutInCell="1" allowOverlap="1" wp14:anchorId="6D742E4F" wp14:editId="1D21729B">
          <wp:simplePos x="0" y="0"/>
          <wp:positionH relativeFrom="margin">
            <wp:posOffset>6903085</wp:posOffset>
          </wp:positionH>
          <wp:positionV relativeFrom="bottomMargin">
            <wp:posOffset>37465</wp:posOffset>
          </wp:positionV>
          <wp:extent cx="2322000" cy="500400"/>
          <wp:effectExtent l="0" t="0" r="2540" b="0"/>
          <wp:wrapNone/>
          <wp:docPr id="5" name="Grafik 5" descr="M:\ecubleue\GESEWO\CD-Unterlagen\gesewo_wordvorlage_brie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cubleue\GESEWO\CD-Unterlagen\gesewo_wordvorlage_brief.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22000" cy="50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B384E" w:rsidRPr="005D2F39">
      <w:rPr>
        <w:sz w:val="11"/>
        <w:szCs w:val="11"/>
      </w:rPr>
      <w:fldChar w:fldCharType="begin"/>
    </w:r>
    <w:r w:rsidR="00FB384E" w:rsidRPr="005D2F39">
      <w:rPr>
        <w:sz w:val="11"/>
        <w:szCs w:val="11"/>
      </w:rPr>
      <w:instrText xml:space="preserve"> FILENAME   \* MERGEFORMAT </w:instrText>
    </w:r>
    <w:r w:rsidR="00FB384E" w:rsidRPr="005D2F39">
      <w:rPr>
        <w:sz w:val="11"/>
        <w:szCs w:val="11"/>
      </w:rPr>
      <w:fldChar w:fldCharType="separate"/>
    </w:r>
    <w:r w:rsidR="00032343">
      <w:rPr>
        <w:noProof/>
        <w:sz w:val="11"/>
        <w:szCs w:val="11"/>
      </w:rPr>
      <w:t>Antwortformular Soli reloaded.docx</w:t>
    </w:r>
    <w:r w:rsidR="00FB384E" w:rsidRPr="005D2F39">
      <w:rPr>
        <w:sz w:val="11"/>
        <w:szCs w:val="11"/>
      </w:rPr>
      <w:fldChar w:fldCharType="end"/>
    </w:r>
    <w:r w:rsidR="00032343" w:rsidRPr="00154145">
      <w:rPr>
        <w:sz w:val="11"/>
        <w:szCs w:val="1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281D" w:rsidRDefault="008D281D" w:rsidP="002E3F12">
      <w:pPr>
        <w:spacing w:line="240" w:lineRule="auto"/>
      </w:pPr>
      <w:r>
        <w:separator/>
      </w:r>
    </w:p>
  </w:footnote>
  <w:footnote w:type="continuationSeparator" w:id="0">
    <w:p w:rsidR="008D281D" w:rsidRDefault="008D281D" w:rsidP="002E3F1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84E" w:rsidRDefault="008A16F5">
    <w:pPr>
      <w:pStyle w:val="Kopfzeile"/>
    </w:pPr>
    <w:r>
      <w:rPr>
        <w:noProof/>
        <w:lang w:eastAsia="de-CH"/>
      </w:rPr>
      <w:drawing>
        <wp:anchor distT="0" distB="0" distL="114300" distR="114300" simplePos="0" relativeHeight="251665408" behindDoc="0" locked="0" layoutInCell="1" allowOverlap="1" wp14:anchorId="3DDA0D40" wp14:editId="713B32DA">
          <wp:simplePos x="0" y="0"/>
          <wp:positionH relativeFrom="margin">
            <wp:posOffset>6750685</wp:posOffset>
          </wp:positionH>
          <wp:positionV relativeFrom="margin">
            <wp:posOffset>-793115</wp:posOffset>
          </wp:positionV>
          <wp:extent cx="2322000" cy="655200"/>
          <wp:effectExtent l="0" t="0" r="2540" b="0"/>
          <wp:wrapNone/>
          <wp:docPr id="3" name="Grafik 3" descr="C:\Users\Caroline Haeberli\Desktop\Ges_Logo_Brief_A4_rg#5345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roline Haeberli\Desktop\Ges_Logo_Brief_A4_rg#534569.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22000" cy="655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84E" w:rsidRDefault="008A16F5">
    <w:pPr>
      <w:pStyle w:val="Kopfzeile"/>
    </w:pPr>
    <w:r>
      <w:rPr>
        <w:noProof/>
        <w:lang w:eastAsia="de-CH"/>
      </w:rPr>
      <w:drawing>
        <wp:anchor distT="0" distB="0" distL="114300" distR="114300" simplePos="0" relativeHeight="251659264" behindDoc="0" locked="0" layoutInCell="1" allowOverlap="1" wp14:anchorId="3DDA0D40" wp14:editId="713B32DA">
          <wp:simplePos x="0" y="0"/>
          <wp:positionH relativeFrom="margin">
            <wp:posOffset>6864985</wp:posOffset>
          </wp:positionH>
          <wp:positionV relativeFrom="margin">
            <wp:posOffset>-802640</wp:posOffset>
          </wp:positionV>
          <wp:extent cx="2322000" cy="655200"/>
          <wp:effectExtent l="0" t="0" r="2540" b="0"/>
          <wp:wrapNone/>
          <wp:docPr id="1" name="Grafik 1" descr="C:\Users\Caroline Haeberli\Desktop\Ges_Logo_Brief_A4_rg#5345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roline Haeberli\Desktop\Ges_Logo_Brief_A4_rg#534569.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22000" cy="655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singleLevel"/>
    <w:tmpl w:val="3A80BC18"/>
    <w:lvl w:ilvl="0">
      <w:start w:val="1"/>
      <w:numFmt w:val="decimal"/>
      <w:pStyle w:val="Traktandum"/>
      <w:lvlText w:val="%1."/>
      <w:lvlJc w:val="left"/>
      <w:pPr>
        <w:tabs>
          <w:tab w:val="num" w:pos="360"/>
        </w:tabs>
        <w:ind w:left="360" w:hanging="360"/>
      </w:pPr>
    </w:lvl>
  </w:abstractNum>
  <w:abstractNum w:abstractNumId="1" w15:restartNumberingAfterBreak="0">
    <w:nsid w:val="11BA3ABD"/>
    <w:multiLevelType w:val="hybridMultilevel"/>
    <w:tmpl w:val="98381B02"/>
    <w:lvl w:ilvl="0" w:tplc="A27275FA">
      <w:start w:val="1"/>
      <w:numFmt w:val="bullet"/>
      <w:pStyle w:val="Listenaufzhlung"/>
      <w:lvlText w:val="-"/>
      <w:lvlJc w:val="left"/>
      <w:pPr>
        <w:ind w:left="814" w:hanging="360"/>
      </w:pPr>
      <w:rPr>
        <w:rFonts w:ascii="Calibri" w:hAnsi="Calibri" w:hint="default"/>
      </w:rPr>
    </w:lvl>
    <w:lvl w:ilvl="1" w:tplc="08070003">
      <w:start w:val="1"/>
      <w:numFmt w:val="bullet"/>
      <w:lvlText w:val="o"/>
      <w:lvlJc w:val="left"/>
      <w:pPr>
        <w:ind w:left="1534" w:hanging="360"/>
      </w:pPr>
      <w:rPr>
        <w:rFonts w:ascii="Courier New" w:hAnsi="Courier New" w:cs="Courier New" w:hint="default"/>
      </w:rPr>
    </w:lvl>
    <w:lvl w:ilvl="2" w:tplc="08070005" w:tentative="1">
      <w:start w:val="1"/>
      <w:numFmt w:val="bullet"/>
      <w:lvlText w:val=""/>
      <w:lvlJc w:val="left"/>
      <w:pPr>
        <w:ind w:left="2254" w:hanging="360"/>
      </w:pPr>
      <w:rPr>
        <w:rFonts w:ascii="Wingdings" w:hAnsi="Wingdings" w:hint="default"/>
      </w:rPr>
    </w:lvl>
    <w:lvl w:ilvl="3" w:tplc="08070001" w:tentative="1">
      <w:start w:val="1"/>
      <w:numFmt w:val="bullet"/>
      <w:lvlText w:val=""/>
      <w:lvlJc w:val="left"/>
      <w:pPr>
        <w:ind w:left="2974" w:hanging="360"/>
      </w:pPr>
      <w:rPr>
        <w:rFonts w:ascii="Symbol" w:hAnsi="Symbol" w:hint="default"/>
      </w:rPr>
    </w:lvl>
    <w:lvl w:ilvl="4" w:tplc="08070003" w:tentative="1">
      <w:start w:val="1"/>
      <w:numFmt w:val="bullet"/>
      <w:lvlText w:val="o"/>
      <w:lvlJc w:val="left"/>
      <w:pPr>
        <w:ind w:left="3694" w:hanging="360"/>
      </w:pPr>
      <w:rPr>
        <w:rFonts w:ascii="Courier New" w:hAnsi="Courier New" w:cs="Courier New" w:hint="default"/>
      </w:rPr>
    </w:lvl>
    <w:lvl w:ilvl="5" w:tplc="08070005" w:tentative="1">
      <w:start w:val="1"/>
      <w:numFmt w:val="bullet"/>
      <w:lvlText w:val=""/>
      <w:lvlJc w:val="left"/>
      <w:pPr>
        <w:ind w:left="4414" w:hanging="360"/>
      </w:pPr>
      <w:rPr>
        <w:rFonts w:ascii="Wingdings" w:hAnsi="Wingdings" w:hint="default"/>
      </w:rPr>
    </w:lvl>
    <w:lvl w:ilvl="6" w:tplc="08070001" w:tentative="1">
      <w:start w:val="1"/>
      <w:numFmt w:val="bullet"/>
      <w:lvlText w:val=""/>
      <w:lvlJc w:val="left"/>
      <w:pPr>
        <w:ind w:left="5134" w:hanging="360"/>
      </w:pPr>
      <w:rPr>
        <w:rFonts w:ascii="Symbol" w:hAnsi="Symbol" w:hint="default"/>
      </w:rPr>
    </w:lvl>
    <w:lvl w:ilvl="7" w:tplc="08070003" w:tentative="1">
      <w:start w:val="1"/>
      <w:numFmt w:val="bullet"/>
      <w:lvlText w:val="o"/>
      <w:lvlJc w:val="left"/>
      <w:pPr>
        <w:ind w:left="5854" w:hanging="360"/>
      </w:pPr>
      <w:rPr>
        <w:rFonts w:ascii="Courier New" w:hAnsi="Courier New" w:cs="Courier New" w:hint="default"/>
      </w:rPr>
    </w:lvl>
    <w:lvl w:ilvl="8" w:tplc="08070005" w:tentative="1">
      <w:start w:val="1"/>
      <w:numFmt w:val="bullet"/>
      <w:lvlText w:val=""/>
      <w:lvlJc w:val="left"/>
      <w:pPr>
        <w:ind w:left="6574" w:hanging="360"/>
      </w:pPr>
      <w:rPr>
        <w:rFonts w:ascii="Wingdings" w:hAnsi="Wingdings" w:hint="default"/>
      </w:rPr>
    </w:lvl>
  </w:abstractNum>
  <w:abstractNum w:abstractNumId="2" w15:restartNumberingAfterBreak="0">
    <w:nsid w:val="316F1FF4"/>
    <w:multiLevelType w:val="hybridMultilevel"/>
    <w:tmpl w:val="20C8E792"/>
    <w:lvl w:ilvl="0" w:tplc="CD6425B8">
      <w:start w:val="1"/>
      <w:numFmt w:val="bullet"/>
      <w:pStyle w:val="Aufzhlung"/>
      <w:lvlText w:val="-"/>
      <w:lvlJc w:val="left"/>
      <w:pPr>
        <w:ind w:left="720" w:hanging="360"/>
      </w:pPr>
      <w:rPr>
        <w:rFonts w:ascii="Calibri" w:hAnsi="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4A184767"/>
    <w:multiLevelType w:val="singleLevel"/>
    <w:tmpl w:val="4AC0FF90"/>
    <w:lvl w:ilvl="0">
      <w:start w:val="1"/>
      <w:numFmt w:val="bullet"/>
      <w:pStyle w:val="Protokollaufzhlung"/>
      <w:lvlText w:val="-"/>
      <w:lvlJc w:val="left"/>
      <w:pPr>
        <w:ind w:left="360" w:hanging="360"/>
      </w:pPr>
      <w:rPr>
        <w:rFonts w:ascii="Calibri" w:hAnsi="Calibri" w:hint="default"/>
      </w:rPr>
    </w:lvl>
  </w:abstractNum>
  <w:abstractNum w:abstractNumId="4" w15:restartNumberingAfterBreak="0">
    <w:nsid w:val="57A22832"/>
    <w:multiLevelType w:val="hybridMultilevel"/>
    <w:tmpl w:val="7098F982"/>
    <w:lvl w:ilvl="0" w:tplc="6AB065FA">
      <w:start w:val="1"/>
      <w:numFmt w:val="decimal"/>
      <w:pStyle w:val="AbsatzStatuten"/>
      <w:lvlText w:val="%1"/>
      <w:lvlJc w:val="left"/>
      <w:pPr>
        <w:ind w:left="1287" w:hanging="360"/>
      </w:pPr>
      <w:rPr>
        <w:rFonts w:hint="default"/>
        <w:caps w:val="0"/>
        <w:strike w:val="0"/>
        <w:dstrike w:val="0"/>
        <w:vanish w:val="0"/>
        <w:vertAlign w:val="superscript"/>
      </w:rPr>
    </w:lvl>
    <w:lvl w:ilvl="1" w:tplc="08070019" w:tentative="1">
      <w:start w:val="1"/>
      <w:numFmt w:val="lowerLetter"/>
      <w:lvlText w:val="%2."/>
      <w:lvlJc w:val="left"/>
      <w:pPr>
        <w:ind w:left="2007" w:hanging="360"/>
      </w:pPr>
    </w:lvl>
    <w:lvl w:ilvl="2" w:tplc="0807001B" w:tentative="1">
      <w:start w:val="1"/>
      <w:numFmt w:val="lowerRoman"/>
      <w:lvlText w:val="%3."/>
      <w:lvlJc w:val="right"/>
      <w:pPr>
        <w:ind w:left="2727" w:hanging="180"/>
      </w:pPr>
    </w:lvl>
    <w:lvl w:ilvl="3" w:tplc="0807000F" w:tentative="1">
      <w:start w:val="1"/>
      <w:numFmt w:val="decimal"/>
      <w:lvlText w:val="%4."/>
      <w:lvlJc w:val="left"/>
      <w:pPr>
        <w:ind w:left="3447" w:hanging="360"/>
      </w:pPr>
    </w:lvl>
    <w:lvl w:ilvl="4" w:tplc="08070019" w:tentative="1">
      <w:start w:val="1"/>
      <w:numFmt w:val="lowerLetter"/>
      <w:lvlText w:val="%5."/>
      <w:lvlJc w:val="left"/>
      <w:pPr>
        <w:ind w:left="4167" w:hanging="360"/>
      </w:pPr>
    </w:lvl>
    <w:lvl w:ilvl="5" w:tplc="0807001B" w:tentative="1">
      <w:start w:val="1"/>
      <w:numFmt w:val="lowerRoman"/>
      <w:lvlText w:val="%6."/>
      <w:lvlJc w:val="right"/>
      <w:pPr>
        <w:ind w:left="4887" w:hanging="180"/>
      </w:pPr>
    </w:lvl>
    <w:lvl w:ilvl="6" w:tplc="0807000F" w:tentative="1">
      <w:start w:val="1"/>
      <w:numFmt w:val="decimal"/>
      <w:lvlText w:val="%7."/>
      <w:lvlJc w:val="left"/>
      <w:pPr>
        <w:ind w:left="5607" w:hanging="360"/>
      </w:pPr>
    </w:lvl>
    <w:lvl w:ilvl="7" w:tplc="08070019" w:tentative="1">
      <w:start w:val="1"/>
      <w:numFmt w:val="lowerLetter"/>
      <w:lvlText w:val="%8."/>
      <w:lvlJc w:val="left"/>
      <w:pPr>
        <w:ind w:left="6327" w:hanging="360"/>
      </w:pPr>
    </w:lvl>
    <w:lvl w:ilvl="8" w:tplc="0807001B" w:tentative="1">
      <w:start w:val="1"/>
      <w:numFmt w:val="lowerRoman"/>
      <w:lvlText w:val="%9."/>
      <w:lvlJc w:val="right"/>
      <w:pPr>
        <w:ind w:left="7047" w:hanging="180"/>
      </w:pPr>
    </w:lvl>
  </w:abstractNum>
  <w:abstractNum w:abstractNumId="5" w15:restartNumberingAfterBreak="0">
    <w:nsid w:val="70606CF3"/>
    <w:multiLevelType w:val="multilevel"/>
    <w:tmpl w:val="FFE46092"/>
    <w:lvl w:ilvl="0">
      <w:start w:val="1"/>
      <w:numFmt w:val="decimal"/>
      <w:pStyle w:val="Liste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D5C1201"/>
    <w:multiLevelType w:val="hybridMultilevel"/>
    <w:tmpl w:val="C756DDEA"/>
    <w:lvl w:ilvl="0" w:tplc="1DC2EB86">
      <w:start w:val="1"/>
      <w:numFmt w:val="lowerLetter"/>
      <w:pStyle w:val="Listeabc"/>
      <w:lvlText w:val="%1)"/>
      <w:lvlJc w:val="left"/>
      <w:pPr>
        <w:ind w:left="1287" w:hanging="360"/>
      </w:pPr>
    </w:lvl>
    <w:lvl w:ilvl="1" w:tplc="08070019" w:tentative="1">
      <w:start w:val="1"/>
      <w:numFmt w:val="lowerLetter"/>
      <w:lvlText w:val="%2."/>
      <w:lvlJc w:val="left"/>
      <w:pPr>
        <w:ind w:left="2007" w:hanging="360"/>
      </w:pPr>
    </w:lvl>
    <w:lvl w:ilvl="2" w:tplc="0807001B" w:tentative="1">
      <w:start w:val="1"/>
      <w:numFmt w:val="lowerRoman"/>
      <w:lvlText w:val="%3."/>
      <w:lvlJc w:val="right"/>
      <w:pPr>
        <w:ind w:left="2727" w:hanging="180"/>
      </w:pPr>
    </w:lvl>
    <w:lvl w:ilvl="3" w:tplc="0807000F" w:tentative="1">
      <w:start w:val="1"/>
      <w:numFmt w:val="decimal"/>
      <w:lvlText w:val="%4."/>
      <w:lvlJc w:val="left"/>
      <w:pPr>
        <w:ind w:left="3447" w:hanging="360"/>
      </w:pPr>
    </w:lvl>
    <w:lvl w:ilvl="4" w:tplc="08070019" w:tentative="1">
      <w:start w:val="1"/>
      <w:numFmt w:val="lowerLetter"/>
      <w:lvlText w:val="%5."/>
      <w:lvlJc w:val="left"/>
      <w:pPr>
        <w:ind w:left="4167" w:hanging="360"/>
      </w:pPr>
    </w:lvl>
    <w:lvl w:ilvl="5" w:tplc="0807001B" w:tentative="1">
      <w:start w:val="1"/>
      <w:numFmt w:val="lowerRoman"/>
      <w:lvlText w:val="%6."/>
      <w:lvlJc w:val="right"/>
      <w:pPr>
        <w:ind w:left="4887" w:hanging="180"/>
      </w:pPr>
    </w:lvl>
    <w:lvl w:ilvl="6" w:tplc="0807000F" w:tentative="1">
      <w:start w:val="1"/>
      <w:numFmt w:val="decimal"/>
      <w:lvlText w:val="%7."/>
      <w:lvlJc w:val="left"/>
      <w:pPr>
        <w:ind w:left="5607" w:hanging="360"/>
      </w:pPr>
    </w:lvl>
    <w:lvl w:ilvl="7" w:tplc="08070019" w:tentative="1">
      <w:start w:val="1"/>
      <w:numFmt w:val="lowerLetter"/>
      <w:lvlText w:val="%8."/>
      <w:lvlJc w:val="left"/>
      <w:pPr>
        <w:ind w:left="6327" w:hanging="360"/>
      </w:pPr>
    </w:lvl>
    <w:lvl w:ilvl="8" w:tplc="0807001B" w:tentative="1">
      <w:start w:val="1"/>
      <w:numFmt w:val="lowerRoman"/>
      <w:lvlText w:val="%9."/>
      <w:lvlJc w:val="right"/>
      <w:pPr>
        <w:ind w:left="7047" w:hanging="180"/>
      </w:pPr>
    </w:lvl>
  </w:abstractNum>
  <w:num w:numId="1">
    <w:abstractNumId w:val="1"/>
  </w:num>
  <w:num w:numId="2">
    <w:abstractNumId w:val="3"/>
  </w:num>
  <w:num w:numId="3">
    <w:abstractNumId w:val="0"/>
  </w:num>
  <w:num w:numId="4">
    <w:abstractNumId w:val="5"/>
  </w:num>
  <w:num w:numId="5">
    <w:abstractNumId w:val="1"/>
  </w:num>
  <w:num w:numId="6">
    <w:abstractNumId w:val="5"/>
  </w:num>
  <w:num w:numId="7">
    <w:abstractNumId w:val="1"/>
  </w:num>
  <w:num w:numId="8">
    <w:abstractNumId w:val="5"/>
  </w:num>
  <w:num w:numId="9">
    <w:abstractNumId w:val="2"/>
  </w:num>
  <w:num w:numId="10">
    <w:abstractNumId w:val="5"/>
  </w:num>
  <w:num w:numId="11">
    <w:abstractNumId w:val="5"/>
  </w:num>
  <w:num w:numId="12">
    <w:abstractNumId w:val="5"/>
  </w:num>
  <w:num w:numId="13">
    <w:abstractNumId w:val="5"/>
  </w:num>
  <w:num w:numId="14">
    <w:abstractNumId w:val="5"/>
  </w:num>
  <w:num w:numId="15">
    <w:abstractNumId w:val="6"/>
  </w:num>
  <w:num w:numId="16">
    <w:abstractNumId w:val="6"/>
  </w:num>
  <w:num w:numId="17">
    <w:abstractNumId w:val="4"/>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425"/>
  <w:drawingGridHorizontalSpacing w:val="10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81D"/>
    <w:rsid w:val="00032343"/>
    <w:rsid w:val="00040DE7"/>
    <w:rsid w:val="00067B4E"/>
    <w:rsid w:val="000A1E80"/>
    <w:rsid w:val="000B7646"/>
    <w:rsid w:val="001017BC"/>
    <w:rsid w:val="001149CD"/>
    <w:rsid w:val="001277F4"/>
    <w:rsid w:val="001564EA"/>
    <w:rsid w:val="00165AC0"/>
    <w:rsid w:val="001A2369"/>
    <w:rsid w:val="001B26A9"/>
    <w:rsid w:val="001F4B35"/>
    <w:rsid w:val="00203FDC"/>
    <w:rsid w:val="00216B8B"/>
    <w:rsid w:val="00251C0B"/>
    <w:rsid w:val="002534CC"/>
    <w:rsid w:val="00280C4E"/>
    <w:rsid w:val="00283FB6"/>
    <w:rsid w:val="002A1577"/>
    <w:rsid w:val="002D365D"/>
    <w:rsid w:val="002E3F12"/>
    <w:rsid w:val="002E571B"/>
    <w:rsid w:val="00326CCE"/>
    <w:rsid w:val="003314D9"/>
    <w:rsid w:val="00354403"/>
    <w:rsid w:val="003A4CFE"/>
    <w:rsid w:val="003B3751"/>
    <w:rsid w:val="003D3D85"/>
    <w:rsid w:val="003F7BBA"/>
    <w:rsid w:val="0040761C"/>
    <w:rsid w:val="004111A9"/>
    <w:rsid w:val="0041197C"/>
    <w:rsid w:val="00423307"/>
    <w:rsid w:val="0044300F"/>
    <w:rsid w:val="004535FA"/>
    <w:rsid w:val="00476C5A"/>
    <w:rsid w:val="004E396E"/>
    <w:rsid w:val="004E54A0"/>
    <w:rsid w:val="004F4285"/>
    <w:rsid w:val="00510806"/>
    <w:rsid w:val="005143A7"/>
    <w:rsid w:val="005442C7"/>
    <w:rsid w:val="005C1659"/>
    <w:rsid w:val="005C64B1"/>
    <w:rsid w:val="00615260"/>
    <w:rsid w:val="006351BB"/>
    <w:rsid w:val="00640549"/>
    <w:rsid w:val="006478A1"/>
    <w:rsid w:val="006833C4"/>
    <w:rsid w:val="006B37F1"/>
    <w:rsid w:val="006C79C5"/>
    <w:rsid w:val="006D4AE0"/>
    <w:rsid w:val="00714571"/>
    <w:rsid w:val="0076302E"/>
    <w:rsid w:val="00770B8D"/>
    <w:rsid w:val="007768A2"/>
    <w:rsid w:val="007A11AC"/>
    <w:rsid w:val="007B043A"/>
    <w:rsid w:val="007B0981"/>
    <w:rsid w:val="00800276"/>
    <w:rsid w:val="00805318"/>
    <w:rsid w:val="0084521F"/>
    <w:rsid w:val="00851B6B"/>
    <w:rsid w:val="0086332F"/>
    <w:rsid w:val="00896F37"/>
    <w:rsid w:val="0089763A"/>
    <w:rsid w:val="008A16F5"/>
    <w:rsid w:val="008A7AAC"/>
    <w:rsid w:val="008D2093"/>
    <w:rsid w:val="008D281D"/>
    <w:rsid w:val="00944523"/>
    <w:rsid w:val="00974B5D"/>
    <w:rsid w:val="009B0A6F"/>
    <w:rsid w:val="009B2C04"/>
    <w:rsid w:val="009E6A3B"/>
    <w:rsid w:val="009F7121"/>
    <w:rsid w:val="00A21E10"/>
    <w:rsid w:val="00A37D1C"/>
    <w:rsid w:val="00A471B5"/>
    <w:rsid w:val="00A53D0A"/>
    <w:rsid w:val="00A604E5"/>
    <w:rsid w:val="00A60A19"/>
    <w:rsid w:val="00A73684"/>
    <w:rsid w:val="00A94A56"/>
    <w:rsid w:val="00A95AB3"/>
    <w:rsid w:val="00AA61E7"/>
    <w:rsid w:val="00AC1648"/>
    <w:rsid w:val="00AF0045"/>
    <w:rsid w:val="00B52AA9"/>
    <w:rsid w:val="00B65FF6"/>
    <w:rsid w:val="00B76262"/>
    <w:rsid w:val="00B93BB9"/>
    <w:rsid w:val="00BA0CE3"/>
    <w:rsid w:val="00BF32DF"/>
    <w:rsid w:val="00BF4014"/>
    <w:rsid w:val="00C25724"/>
    <w:rsid w:val="00C422FB"/>
    <w:rsid w:val="00C7097E"/>
    <w:rsid w:val="00C90324"/>
    <w:rsid w:val="00C92811"/>
    <w:rsid w:val="00C92F9B"/>
    <w:rsid w:val="00C93ADA"/>
    <w:rsid w:val="00CA6ABB"/>
    <w:rsid w:val="00CB77D9"/>
    <w:rsid w:val="00CF2E2A"/>
    <w:rsid w:val="00D003AD"/>
    <w:rsid w:val="00D031C4"/>
    <w:rsid w:val="00D2163C"/>
    <w:rsid w:val="00D271F0"/>
    <w:rsid w:val="00D3588A"/>
    <w:rsid w:val="00D41A5F"/>
    <w:rsid w:val="00D71ABA"/>
    <w:rsid w:val="00D72D56"/>
    <w:rsid w:val="00D73A27"/>
    <w:rsid w:val="00D81EE0"/>
    <w:rsid w:val="00DA0472"/>
    <w:rsid w:val="00DB3409"/>
    <w:rsid w:val="00DB3BBC"/>
    <w:rsid w:val="00DC7E34"/>
    <w:rsid w:val="00DF4B07"/>
    <w:rsid w:val="00DF4CFF"/>
    <w:rsid w:val="00E05C98"/>
    <w:rsid w:val="00E135C9"/>
    <w:rsid w:val="00E22C1F"/>
    <w:rsid w:val="00E32BFD"/>
    <w:rsid w:val="00E57454"/>
    <w:rsid w:val="00E93725"/>
    <w:rsid w:val="00F05E1C"/>
    <w:rsid w:val="00F13F2A"/>
    <w:rsid w:val="00F243BD"/>
    <w:rsid w:val="00F75D14"/>
    <w:rsid w:val="00F86A19"/>
    <w:rsid w:val="00F9400F"/>
    <w:rsid w:val="00FA57F8"/>
    <w:rsid w:val="00FB384E"/>
    <w:rsid w:val="00FD1CE9"/>
    <w:rsid w:val="00FD3918"/>
    <w:rsid w:val="00FD4847"/>
    <w:rsid w:val="00FD6AA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F73924-C55E-47BE-B640-4A4A4C439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before="280" w:line="280" w:lineRule="exact"/>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81EE0"/>
    <w:pPr>
      <w:spacing w:before="140" w:line="280" w:lineRule="atLeast"/>
    </w:pPr>
    <w:rPr>
      <w:rFonts w:ascii="Cambria" w:hAnsi="Cambria"/>
      <w:sz w:val="21"/>
    </w:rPr>
  </w:style>
  <w:style w:type="paragraph" w:styleId="berschrift1">
    <w:name w:val="heading 1"/>
    <w:basedOn w:val="Standard"/>
    <w:next w:val="Standard"/>
    <w:link w:val="berschrift1Zchn"/>
    <w:uiPriority w:val="9"/>
    <w:semiHidden/>
    <w:unhideWhenUsed/>
    <w:rsid w:val="00326CC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rsid w:val="00326CC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rsid w:val="00326CCE"/>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treff">
    <w:name w:val="Betreff"/>
    <w:basedOn w:val="Standard"/>
    <w:next w:val="Brieftext"/>
    <w:link w:val="BetreffZchn"/>
    <w:qFormat/>
    <w:rsid w:val="00C93ADA"/>
    <w:pPr>
      <w:spacing w:before="1400" w:after="560" w:line="300" w:lineRule="exact"/>
    </w:pPr>
    <w:rPr>
      <w:b/>
      <w:sz w:val="24"/>
      <w:szCs w:val="24"/>
    </w:rPr>
  </w:style>
  <w:style w:type="character" w:customStyle="1" w:styleId="BetreffZchn">
    <w:name w:val="Betreff Zchn"/>
    <w:basedOn w:val="Absatz-Standardschriftart"/>
    <w:link w:val="Betreff"/>
    <w:rsid w:val="00C93ADA"/>
    <w:rPr>
      <w:rFonts w:ascii="Cambria" w:hAnsi="Cambria"/>
      <w:b/>
      <w:sz w:val="24"/>
      <w:szCs w:val="24"/>
    </w:rPr>
  </w:style>
  <w:style w:type="paragraph" w:customStyle="1" w:styleId="Adresse">
    <w:name w:val="Adresse"/>
    <w:basedOn w:val="Standard"/>
    <w:next w:val="Betreff"/>
    <w:link w:val="AdresseZchn"/>
    <w:qFormat/>
    <w:rsid w:val="00216B8B"/>
    <w:pPr>
      <w:spacing w:before="1134" w:after="280"/>
    </w:pPr>
  </w:style>
  <w:style w:type="character" w:customStyle="1" w:styleId="AdresseZchn">
    <w:name w:val="Adresse Zchn"/>
    <w:basedOn w:val="Absatz-Standardschriftart"/>
    <w:link w:val="Adresse"/>
    <w:rsid w:val="00216B8B"/>
    <w:rPr>
      <w:rFonts w:ascii="Cambria" w:hAnsi="Cambria"/>
      <w:sz w:val="21"/>
    </w:rPr>
  </w:style>
  <w:style w:type="paragraph" w:customStyle="1" w:styleId="Signatur">
    <w:name w:val="Signatur"/>
    <w:basedOn w:val="Standard"/>
    <w:rsid w:val="007768A2"/>
    <w:pPr>
      <w:tabs>
        <w:tab w:val="left" w:pos="5046"/>
      </w:tabs>
      <w:spacing w:before="840"/>
    </w:pPr>
  </w:style>
  <w:style w:type="paragraph" w:customStyle="1" w:styleId="Brieftext">
    <w:name w:val="Brieftext"/>
    <w:basedOn w:val="Standard"/>
    <w:qFormat/>
    <w:rsid w:val="00216B8B"/>
    <w:pPr>
      <w:spacing w:before="280" w:after="140"/>
    </w:pPr>
  </w:style>
  <w:style w:type="character" w:customStyle="1" w:styleId="berschrift2Zchn">
    <w:name w:val="Überschrift 2 Zchn"/>
    <w:basedOn w:val="Absatz-Standardschriftart"/>
    <w:link w:val="berschrift2"/>
    <w:uiPriority w:val="9"/>
    <w:rsid w:val="00326CCE"/>
    <w:rPr>
      <w:rFonts w:asciiTheme="majorHAnsi" w:eastAsiaTheme="majorEastAsia" w:hAnsiTheme="majorHAnsi" w:cstheme="majorBidi"/>
      <w:b/>
      <w:bCs/>
      <w:color w:val="4F81BD" w:themeColor="accent1"/>
      <w:sz w:val="26"/>
      <w:szCs w:val="26"/>
    </w:rPr>
  </w:style>
  <w:style w:type="paragraph" w:styleId="Titel">
    <w:name w:val="Title"/>
    <w:basedOn w:val="Standard"/>
    <w:next w:val="Standard"/>
    <w:link w:val="TitelZchn"/>
    <w:uiPriority w:val="10"/>
    <w:unhideWhenUsed/>
    <w:qFormat/>
    <w:rsid w:val="00A604E5"/>
    <w:pPr>
      <w:spacing w:before="1134" w:after="420" w:line="350" w:lineRule="exact"/>
    </w:pPr>
    <w:rPr>
      <w:b/>
      <w:sz w:val="29"/>
      <w:szCs w:val="29"/>
    </w:rPr>
  </w:style>
  <w:style w:type="character" w:customStyle="1" w:styleId="TitelZchn">
    <w:name w:val="Titel Zchn"/>
    <w:basedOn w:val="Absatz-Standardschriftart"/>
    <w:link w:val="Titel"/>
    <w:uiPriority w:val="10"/>
    <w:rsid w:val="00A604E5"/>
    <w:rPr>
      <w:rFonts w:ascii="Cambria" w:hAnsi="Cambria"/>
      <w:b/>
      <w:sz w:val="29"/>
      <w:szCs w:val="29"/>
    </w:rPr>
  </w:style>
  <w:style w:type="paragraph" w:styleId="Untertitel">
    <w:name w:val="Subtitle"/>
    <w:basedOn w:val="Standard"/>
    <w:next w:val="Standard"/>
    <w:link w:val="UntertitelZchn"/>
    <w:uiPriority w:val="11"/>
    <w:unhideWhenUsed/>
    <w:qFormat/>
    <w:rsid w:val="00326CCE"/>
    <w:pPr>
      <w:numPr>
        <w:ilvl w:val="1"/>
      </w:numPr>
      <w:spacing w:before="420"/>
    </w:pPr>
    <w:rPr>
      <w:rFonts w:eastAsiaTheme="majorEastAsia" w:cstheme="majorBidi"/>
      <w:b/>
      <w:iCs/>
      <w:szCs w:val="21"/>
    </w:rPr>
  </w:style>
  <w:style w:type="character" w:customStyle="1" w:styleId="UntertitelZchn">
    <w:name w:val="Untertitel Zchn"/>
    <w:basedOn w:val="Absatz-Standardschriftart"/>
    <w:link w:val="Untertitel"/>
    <w:uiPriority w:val="11"/>
    <w:rsid w:val="00326CCE"/>
    <w:rPr>
      <w:rFonts w:ascii="Cambria" w:eastAsiaTheme="majorEastAsia" w:hAnsi="Cambria" w:cstheme="majorBidi"/>
      <w:b/>
      <w:iCs/>
      <w:sz w:val="21"/>
      <w:szCs w:val="21"/>
    </w:rPr>
  </w:style>
  <w:style w:type="paragraph" w:customStyle="1" w:styleId="Aufzhlung">
    <w:name w:val="Aufzählung"/>
    <w:basedOn w:val="Standard"/>
    <w:qFormat/>
    <w:rsid w:val="00326CCE"/>
    <w:pPr>
      <w:numPr>
        <w:numId w:val="9"/>
      </w:numPr>
      <w:spacing w:before="0"/>
      <w:ind w:left="227" w:hanging="227"/>
    </w:pPr>
  </w:style>
  <w:style w:type="paragraph" w:styleId="Kopfzeile">
    <w:name w:val="header"/>
    <w:basedOn w:val="Standard"/>
    <w:link w:val="KopfzeileZchn"/>
    <w:uiPriority w:val="99"/>
    <w:unhideWhenUsed/>
    <w:rsid w:val="00251C0B"/>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B76262"/>
    <w:rPr>
      <w:rFonts w:ascii="Cambria" w:hAnsi="Cambria"/>
      <w:sz w:val="21"/>
    </w:rPr>
  </w:style>
  <w:style w:type="paragraph" w:styleId="Fuzeile">
    <w:name w:val="footer"/>
    <w:basedOn w:val="Standard"/>
    <w:link w:val="FuzeileZchn"/>
    <w:uiPriority w:val="99"/>
    <w:unhideWhenUsed/>
    <w:rsid w:val="003D3D85"/>
    <w:pPr>
      <w:tabs>
        <w:tab w:val="center" w:pos="4536"/>
        <w:tab w:val="right" w:pos="9072"/>
      </w:tabs>
      <w:spacing w:line="212" w:lineRule="atLeast"/>
    </w:pPr>
    <w:rPr>
      <w:sz w:val="16"/>
    </w:rPr>
  </w:style>
  <w:style w:type="character" w:customStyle="1" w:styleId="FuzeileZchn">
    <w:name w:val="Fußzeile Zchn"/>
    <w:basedOn w:val="Absatz-Standardschriftart"/>
    <w:link w:val="Fuzeile"/>
    <w:uiPriority w:val="99"/>
    <w:rsid w:val="003D3D85"/>
    <w:rPr>
      <w:rFonts w:ascii="Cambria" w:hAnsi="Cambria"/>
      <w:sz w:val="16"/>
    </w:rPr>
  </w:style>
  <w:style w:type="paragraph" w:styleId="Sprechblasentext">
    <w:name w:val="Balloon Text"/>
    <w:basedOn w:val="Standard"/>
    <w:link w:val="SprechblasentextZchn"/>
    <w:uiPriority w:val="99"/>
    <w:semiHidden/>
    <w:unhideWhenUsed/>
    <w:rsid w:val="00251C0B"/>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76262"/>
    <w:rPr>
      <w:rFonts w:ascii="Tahoma" w:hAnsi="Tahoma" w:cs="Tahoma"/>
      <w:sz w:val="16"/>
      <w:szCs w:val="16"/>
    </w:rPr>
  </w:style>
  <w:style w:type="paragraph" w:customStyle="1" w:styleId="Protokollaufzhlung">
    <w:name w:val="Protokollaufzählung"/>
    <w:basedOn w:val="Standard"/>
    <w:qFormat/>
    <w:rsid w:val="00FD6AAB"/>
    <w:pPr>
      <w:numPr>
        <w:numId w:val="2"/>
      </w:numPr>
      <w:spacing w:before="0"/>
      <w:ind w:left="454" w:hanging="227"/>
    </w:pPr>
    <w:rPr>
      <w:rFonts w:eastAsia="Times New Roman" w:cs="Times New Roman"/>
      <w:szCs w:val="20"/>
      <w:lang w:eastAsia="de-DE"/>
    </w:rPr>
  </w:style>
  <w:style w:type="paragraph" w:customStyle="1" w:styleId="Protokolltext">
    <w:name w:val="Protokolltext"/>
    <w:basedOn w:val="Standard"/>
    <w:qFormat/>
    <w:rsid w:val="00216B8B"/>
    <w:pPr>
      <w:spacing w:before="0"/>
      <w:ind w:left="227"/>
    </w:pPr>
  </w:style>
  <w:style w:type="paragraph" w:customStyle="1" w:styleId="Traktandum">
    <w:name w:val="Traktandum"/>
    <w:basedOn w:val="Standard"/>
    <w:qFormat/>
    <w:rsid w:val="00216B8B"/>
    <w:pPr>
      <w:numPr>
        <w:numId w:val="3"/>
      </w:numPr>
      <w:tabs>
        <w:tab w:val="clear" w:pos="360"/>
      </w:tabs>
      <w:snapToGrid w:val="0"/>
      <w:spacing w:before="60" w:after="60"/>
      <w:ind w:left="227" w:hanging="227"/>
    </w:pPr>
  </w:style>
  <w:style w:type="paragraph" w:customStyle="1" w:styleId="Liste1">
    <w:name w:val="Liste 1"/>
    <w:basedOn w:val="Standard"/>
    <w:next w:val="Listentext"/>
    <w:autoRedefine/>
    <w:rsid w:val="00354403"/>
    <w:pPr>
      <w:numPr>
        <w:numId w:val="4"/>
      </w:numPr>
      <w:spacing w:before="420" w:line="280" w:lineRule="exact"/>
    </w:pPr>
    <w:rPr>
      <w:b/>
    </w:rPr>
  </w:style>
  <w:style w:type="paragraph" w:customStyle="1" w:styleId="Listenaufzhlung">
    <w:name w:val="Listenaufzählung"/>
    <w:basedOn w:val="Standard"/>
    <w:rsid w:val="00DC7E34"/>
    <w:pPr>
      <w:numPr>
        <w:numId w:val="7"/>
      </w:numPr>
      <w:spacing w:before="0" w:line="280" w:lineRule="exact"/>
      <w:ind w:left="794" w:hanging="227"/>
    </w:pPr>
  </w:style>
  <w:style w:type="paragraph" w:customStyle="1" w:styleId="Liste11">
    <w:name w:val="Liste 1.1"/>
    <w:basedOn w:val="Liste1"/>
    <w:next w:val="Standard"/>
    <w:autoRedefine/>
    <w:rsid w:val="00354403"/>
    <w:pPr>
      <w:numPr>
        <w:numId w:val="0"/>
      </w:numPr>
      <w:spacing w:before="140"/>
    </w:pPr>
    <w:rPr>
      <w:b w:val="0"/>
    </w:rPr>
  </w:style>
  <w:style w:type="paragraph" w:customStyle="1" w:styleId="Listentext">
    <w:name w:val="Listentext"/>
    <w:basedOn w:val="Listenaufzhlung"/>
    <w:rsid w:val="00216B8B"/>
    <w:pPr>
      <w:numPr>
        <w:numId w:val="0"/>
      </w:numPr>
      <w:spacing w:before="140" w:line="280" w:lineRule="atLeast"/>
      <w:ind w:left="567"/>
    </w:pPr>
  </w:style>
  <w:style w:type="character" w:customStyle="1" w:styleId="berschrift1Zchn">
    <w:name w:val="Überschrift 1 Zchn"/>
    <w:basedOn w:val="Absatz-Standardschriftart"/>
    <w:link w:val="berschrift1"/>
    <w:uiPriority w:val="9"/>
    <w:semiHidden/>
    <w:rsid w:val="00326CCE"/>
    <w:rPr>
      <w:rFonts w:asciiTheme="majorHAnsi" w:eastAsiaTheme="majorEastAsia" w:hAnsiTheme="majorHAnsi" w:cstheme="majorBidi"/>
      <w:b/>
      <w:bCs/>
      <w:color w:val="365F91" w:themeColor="accent1" w:themeShade="BF"/>
      <w:sz w:val="28"/>
      <w:szCs w:val="28"/>
    </w:rPr>
  </w:style>
  <w:style w:type="character" w:customStyle="1" w:styleId="berschrift3Zchn">
    <w:name w:val="Überschrift 3 Zchn"/>
    <w:basedOn w:val="Absatz-Standardschriftart"/>
    <w:link w:val="berschrift3"/>
    <w:uiPriority w:val="9"/>
    <w:semiHidden/>
    <w:rsid w:val="00326CCE"/>
    <w:rPr>
      <w:rFonts w:asciiTheme="majorHAnsi" w:eastAsiaTheme="majorEastAsia" w:hAnsiTheme="majorHAnsi" w:cstheme="majorBidi"/>
      <w:b/>
      <w:bCs/>
      <w:color w:val="4F81BD" w:themeColor="accent1"/>
      <w:sz w:val="21"/>
    </w:rPr>
  </w:style>
  <w:style w:type="paragraph" w:customStyle="1" w:styleId="Listeabc">
    <w:name w:val="Liste abc"/>
    <w:basedOn w:val="Listenaufzhlung"/>
    <w:rsid w:val="00A471B5"/>
    <w:pPr>
      <w:numPr>
        <w:numId w:val="16"/>
      </w:numPr>
      <w:ind w:left="851" w:hanging="284"/>
    </w:pPr>
  </w:style>
  <w:style w:type="paragraph" w:styleId="Endnotentext">
    <w:name w:val="endnote text"/>
    <w:basedOn w:val="Standard"/>
    <w:link w:val="EndnotentextZchn"/>
    <w:uiPriority w:val="99"/>
    <w:unhideWhenUsed/>
    <w:rsid w:val="003D3D85"/>
    <w:pPr>
      <w:spacing w:before="40" w:line="240" w:lineRule="auto"/>
    </w:pPr>
    <w:rPr>
      <w:sz w:val="16"/>
      <w:szCs w:val="20"/>
    </w:rPr>
  </w:style>
  <w:style w:type="character" w:customStyle="1" w:styleId="EndnotentextZchn">
    <w:name w:val="Endnotentext Zchn"/>
    <w:basedOn w:val="Absatz-Standardschriftart"/>
    <w:link w:val="Endnotentext"/>
    <w:uiPriority w:val="99"/>
    <w:rsid w:val="003D3D85"/>
    <w:rPr>
      <w:rFonts w:ascii="Cambria" w:hAnsi="Cambria"/>
      <w:sz w:val="16"/>
      <w:szCs w:val="20"/>
    </w:rPr>
  </w:style>
  <w:style w:type="character" w:styleId="Endnotenzeichen">
    <w:name w:val="endnote reference"/>
    <w:basedOn w:val="EndnotentextZchn"/>
    <w:uiPriority w:val="99"/>
    <w:unhideWhenUsed/>
    <w:rsid w:val="003D3D85"/>
    <w:rPr>
      <w:rFonts w:ascii="Cambria" w:hAnsi="Cambria"/>
      <w:sz w:val="16"/>
      <w:szCs w:val="20"/>
      <w:vertAlign w:val="superscript"/>
    </w:rPr>
  </w:style>
  <w:style w:type="paragraph" w:customStyle="1" w:styleId="AbsatzStatuten">
    <w:name w:val="Absatz Statuten"/>
    <w:basedOn w:val="Listentext"/>
    <w:rsid w:val="00283FB6"/>
    <w:pPr>
      <w:numPr>
        <w:numId w:val="17"/>
      </w:numPr>
      <w:spacing w:before="60"/>
    </w:pPr>
  </w:style>
  <w:style w:type="paragraph" w:customStyle="1" w:styleId="Protokollspalte">
    <w:name w:val="Protokollspalte"/>
    <w:basedOn w:val="Protokolltext"/>
    <w:qFormat/>
    <w:rsid w:val="00F13F2A"/>
    <w:pPr>
      <w:ind w:left="0"/>
      <w:jc w:val="center"/>
    </w:pPr>
  </w:style>
  <w:style w:type="table" w:styleId="Tabellenraster">
    <w:name w:val="Table Grid"/>
    <w:basedOn w:val="NormaleTabelle"/>
    <w:uiPriority w:val="59"/>
    <w:rsid w:val="008D281D"/>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D031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n.borst@gesewo.c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CCD8E-7657-46DE-B95A-0FB276660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B7452BD0.dotm</Template>
  <TotalTime>0</TotalTime>
  <Pages>5</Pages>
  <Words>714</Words>
  <Characters>4501</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Häbeli</dc:creator>
  <cp:keywords/>
  <dc:description/>
  <cp:lastModifiedBy>Carole Häbeli</cp:lastModifiedBy>
  <cp:revision>3</cp:revision>
  <cp:lastPrinted>2014-01-31T17:29:00Z</cp:lastPrinted>
  <dcterms:created xsi:type="dcterms:W3CDTF">2016-11-09T10:45:00Z</dcterms:created>
  <dcterms:modified xsi:type="dcterms:W3CDTF">2016-11-09T11:59:00Z</dcterms:modified>
</cp:coreProperties>
</file>